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1F2FB" w14:textId="77777777" w:rsidR="006D3F6D" w:rsidRDefault="006D3F6D" w:rsidP="006D3F6D">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BAB 2 </w:t>
      </w:r>
    </w:p>
    <w:p w14:paraId="3A537F1B" w14:textId="77777777" w:rsidR="006D3F6D" w:rsidRDefault="006D3F6D" w:rsidP="006D3F6D">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KERANGKA KONSEPTUAL </w:t>
      </w:r>
      <w:r>
        <w:rPr>
          <w:rFonts w:ascii="Times New Roman" w:hAnsi="Times New Roman" w:cs="Times New Roman"/>
          <w:b/>
          <w:bCs/>
          <w:i/>
          <w:iCs/>
          <w:sz w:val="24"/>
          <w:szCs w:val="24"/>
        </w:rPr>
        <w:t>SUSTAINABILITY</w:t>
      </w:r>
    </w:p>
    <w:p w14:paraId="304010F7"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Terdapat beberapa kerangka konseptual yang dapat digunakan sebagai prinsip, pedoman, ataupun panduan dalam pembuatan laporan keberlanjutan. Kerangka-kerangka konseptual ini ditujukan untuk proses identifikasi dari berbagai tahapan bagi perusahaan ataupun organisasi dalam mengusung konsep </w:t>
      </w:r>
      <w:r>
        <w:rPr>
          <w:rFonts w:ascii="Times New Roman" w:hAnsi="Times New Roman" w:cs="Times New Roman"/>
          <w:i/>
          <w:iCs/>
          <w:sz w:val="24"/>
          <w:szCs w:val="24"/>
        </w:rPr>
        <w:t>sustainability</w:t>
      </w:r>
      <w:r>
        <w:rPr>
          <w:rFonts w:ascii="Times New Roman" w:hAnsi="Times New Roman" w:cs="Times New Roman"/>
          <w:sz w:val="24"/>
          <w:szCs w:val="24"/>
        </w:rPr>
        <w:t xml:space="preserve">. </w:t>
      </w:r>
    </w:p>
    <w:p w14:paraId="24D7ABA0" w14:textId="77777777" w:rsidR="006D3F6D" w:rsidRDefault="006D3F6D" w:rsidP="006D3F6D">
      <w:pPr>
        <w:spacing w:after="120" w:line="360" w:lineRule="auto"/>
        <w:jc w:val="both"/>
        <w:rPr>
          <w:rFonts w:ascii="Times New Roman" w:hAnsi="Times New Roman" w:cs="Times New Roman"/>
          <w:sz w:val="24"/>
          <w:szCs w:val="24"/>
        </w:rPr>
      </w:pPr>
    </w:p>
    <w:p w14:paraId="00DFCF14" w14:textId="77777777" w:rsidR="006D3F6D" w:rsidRDefault="006D3F6D" w:rsidP="006D3F6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KERANGKA GLOBAL REPORTING INISIATIVE</w:t>
      </w:r>
    </w:p>
    <w:p w14:paraId="2517DD5A"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i/>
          <w:iCs/>
          <w:sz w:val="24"/>
          <w:szCs w:val="24"/>
        </w:rPr>
        <w:t>Global Reporting Inisiative</w:t>
      </w:r>
      <w:r>
        <w:rPr>
          <w:rFonts w:ascii="Times New Roman" w:hAnsi="Times New Roman" w:cs="Times New Roman"/>
          <w:sz w:val="24"/>
          <w:szCs w:val="24"/>
        </w:rPr>
        <w:t xml:space="preserve"> atau yang dikenal sebagai GRI berdiri pada tahun 1997 oleh Komisi Dunia untuk Lingkungan dan Pembangunan dengan menetapkan tujuan keberlanjutan yakni pembangunan yang memenuhi kebutuhan masa kini tanpa mengorbankan kemampuan generasi mendatang untuk memenuhi kebutuhan mereka sendiri.</w:t>
      </w:r>
    </w:p>
    <w:p w14:paraId="1F938A2F"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Pelaporan keberlanjutan dengan berdasarkan pada standar GRI memberikan informasi tentang kontribusi yang diberikan organisasi atau perusahaan dalam pembangunan keberlanjutan. Dengan mengikuti standar GRI, maka pelaporan akan mencakup informasi terkait dampak ekonomi, lingkungan dan sosial kepada publik.</w:t>
      </w:r>
    </w:p>
    <w:p w14:paraId="7A28ECCC"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GRI menentukan dua macam prinsip laporan keberlanjutan, yakni prinsip yang menentukan isi dan prinsip yang menentukan kualitas dari pelaporan keberlanjutan. Untuk menentukan isi laporan, terdapat 4 hal yang perlu diperhatikan yaitu: pelibatan pemangku kepentingan (</w:t>
      </w:r>
      <w:r>
        <w:rPr>
          <w:rFonts w:ascii="Times New Roman" w:hAnsi="Times New Roman" w:cs="Times New Roman"/>
          <w:i/>
          <w:iCs/>
          <w:sz w:val="24"/>
          <w:szCs w:val="24"/>
        </w:rPr>
        <w:t>stakeholder</w:t>
      </w:r>
      <w:r>
        <w:rPr>
          <w:rFonts w:ascii="Times New Roman" w:hAnsi="Times New Roman" w:cs="Times New Roman"/>
          <w:sz w:val="24"/>
          <w:szCs w:val="24"/>
        </w:rPr>
        <w:t xml:space="preserve"> </w:t>
      </w:r>
      <w:r>
        <w:rPr>
          <w:rFonts w:ascii="Times New Roman" w:hAnsi="Times New Roman" w:cs="Times New Roman"/>
          <w:i/>
          <w:iCs/>
          <w:sz w:val="24"/>
          <w:szCs w:val="24"/>
        </w:rPr>
        <w:t>inclusiveness</w:t>
      </w:r>
      <w:r>
        <w:rPr>
          <w:rFonts w:ascii="Times New Roman" w:hAnsi="Times New Roman" w:cs="Times New Roman"/>
          <w:sz w:val="24"/>
          <w:szCs w:val="24"/>
        </w:rPr>
        <w:t>), konteks keberlanjutan (</w:t>
      </w:r>
      <w:r>
        <w:rPr>
          <w:rFonts w:ascii="Times New Roman" w:hAnsi="Times New Roman" w:cs="Times New Roman"/>
          <w:i/>
          <w:iCs/>
          <w:sz w:val="24"/>
          <w:szCs w:val="24"/>
        </w:rPr>
        <w:t>sustainability</w:t>
      </w:r>
      <w:r>
        <w:rPr>
          <w:rFonts w:ascii="Times New Roman" w:hAnsi="Times New Roman" w:cs="Times New Roman"/>
          <w:sz w:val="24"/>
          <w:szCs w:val="24"/>
        </w:rPr>
        <w:t xml:space="preserve"> </w:t>
      </w:r>
      <w:r>
        <w:rPr>
          <w:rFonts w:ascii="Times New Roman" w:hAnsi="Times New Roman" w:cs="Times New Roman"/>
          <w:i/>
          <w:iCs/>
          <w:sz w:val="24"/>
          <w:szCs w:val="24"/>
        </w:rPr>
        <w:t>context</w:t>
      </w:r>
      <w:r>
        <w:rPr>
          <w:rFonts w:ascii="Times New Roman" w:hAnsi="Times New Roman" w:cs="Times New Roman"/>
          <w:sz w:val="24"/>
          <w:szCs w:val="24"/>
        </w:rPr>
        <w:t>), materialitas (</w:t>
      </w:r>
      <w:r>
        <w:rPr>
          <w:rFonts w:ascii="Times New Roman" w:hAnsi="Times New Roman" w:cs="Times New Roman"/>
          <w:i/>
          <w:iCs/>
          <w:sz w:val="24"/>
          <w:szCs w:val="24"/>
        </w:rPr>
        <w:t>materiality</w:t>
      </w:r>
      <w:r>
        <w:rPr>
          <w:rFonts w:ascii="Times New Roman" w:hAnsi="Times New Roman" w:cs="Times New Roman"/>
          <w:sz w:val="24"/>
          <w:szCs w:val="24"/>
        </w:rPr>
        <w:t>), dan kelengkapan (</w:t>
      </w:r>
      <w:r>
        <w:rPr>
          <w:rFonts w:ascii="Times New Roman" w:hAnsi="Times New Roman" w:cs="Times New Roman"/>
          <w:i/>
          <w:iCs/>
          <w:sz w:val="24"/>
          <w:szCs w:val="24"/>
        </w:rPr>
        <w:t>completeness</w:t>
      </w:r>
      <w:r>
        <w:rPr>
          <w:rFonts w:ascii="Times New Roman" w:hAnsi="Times New Roman" w:cs="Times New Roman"/>
          <w:sz w:val="24"/>
          <w:szCs w:val="24"/>
        </w:rPr>
        <w:t>), sedangkan untuk menentukan kualitas laporan terdapat 6 aspek, yaitu : keseimbangan (</w:t>
      </w:r>
      <w:r>
        <w:rPr>
          <w:rFonts w:ascii="Times New Roman" w:hAnsi="Times New Roman" w:cs="Times New Roman"/>
          <w:i/>
          <w:iCs/>
          <w:sz w:val="24"/>
          <w:szCs w:val="24"/>
        </w:rPr>
        <w:t>balance</w:t>
      </w:r>
      <w:r>
        <w:rPr>
          <w:rFonts w:ascii="Times New Roman" w:hAnsi="Times New Roman" w:cs="Times New Roman"/>
          <w:sz w:val="24"/>
          <w:szCs w:val="24"/>
        </w:rPr>
        <w:t>), perbandingan (</w:t>
      </w:r>
      <w:r>
        <w:rPr>
          <w:rFonts w:ascii="Times New Roman" w:hAnsi="Times New Roman" w:cs="Times New Roman"/>
          <w:i/>
          <w:iCs/>
          <w:sz w:val="24"/>
          <w:szCs w:val="24"/>
        </w:rPr>
        <w:t>comparabality</w:t>
      </w:r>
      <w:r>
        <w:rPr>
          <w:rFonts w:ascii="Times New Roman" w:hAnsi="Times New Roman" w:cs="Times New Roman"/>
          <w:sz w:val="24"/>
          <w:szCs w:val="24"/>
        </w:rPr>
        <w:t>), akurat (</w:t>
      </w:r>
      <w:r>
        <w:rPr>
          <w:rFonts w:ascii="Times New Roman" w:hAnsi="Times New Roman" w:cs="Times New Roman"/>
          <w:i/>
          <w:iCs/>
          <w:sz w:val="24"/>
          <w:szCs w:val="24"/>
        </w:rPr>
        <w:t>accuracy</w:t>
      </w:r>
      <w:r>
        <w:rPr>
          <w:rFonts w:ascii="Times New Roman" w:hAnsi="Times New Roman" w:cs="Times New Roman"/>
          <w:sz w:val="24"/>
          <w:szCs w:val="24"/>
        </w:rPr>
        <w:t>), tepat waktu (timeliness), kejelasan (</w:t>
      </w:r>
      <w:r>
        <w:rPr>
          <w:rFonts w:ascii="Times New Roman" w:hAnsi="Times New Roman" w:cs="Times New Roman"/>
          <w:i/>
          <w:iCs/>
          <w:sz w:val="24"/>
          <w:szCs w:val="24"/>
        </w:rPr>
        <w:t>clarity</w:t>
      </w:r>
      <w:r>
        <w:rPr>
          <w:rFonts w:ascii="Times New Roman" w:hAnsi="Times New Roman" w:cs="Times New Roman"/>
          <w:sz w:val="24"/>
          <w:szCs w:val="24"/>
        </w:rPr>
        <w:t>), dan keandalan (</w:t>
      </w:r>
      <w:r>
        <w:rPr>
          <w:rFonts w:ascii="Times New Roman" w:hAnsi="Times New Roman" w:cs="Times New Roman"/>
          <w:i/>
          <w:iCs/>
          <w:sz w:val="24"/>
          <w:szCs w:val="24"/>
        </w:rPr>
        <w:t>realibility</w:t>
      </w:r>
      <w:r>
        <w:rPr>
          <w:rFonts w:ascii="Times New Roman" w:hAnsi="Times New Roman" w:cs="Times New Roman"/>
          <w:sz w:val="24"/>
          <w:szCs w:val="24"/>
        </w:rPr>
        <w:t xml:space="preserve">). </w:t>
      </w:r>
    </w:p>
    <w:p w14:paraId="0F114DC1" w14:textId="77777777" w:rsidR="006D3F6D" w:rsidRDefault="006D3F6D" w:rsidP="006D3F6D">
      <w:pPr>
        <w:pStyle w:val="ListParagraph"/>
        <w:numPr>
          <w:ilvl w:val="0"/>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Prinsip menentukan isi laporan:</w:t>
      </w:r>
    </w:p>
    <w:p w14:paraId="25E095BE" w14:textId="77777777" w:rsidR="006D3F6D" w:rsidRDefault="006D3F6D" w:rsidP="006D3F6D">
      <w:pPr>
        <w:pStyle w:val="ListParagraph"/>
        <w:numPr>
          <w:ilvl w:val="0"/>
          <w:numId w:val="2"/>
        </w:numPr>
        <w:spacing w:after="120" w:line="360" w:lineRule="auto"/>
        <w:ind w:left="1134"/>
        <w:jc w:val="both"/>
        <w:rPr>
          <w:rFonts w:ascii="Times New Roman" w:hAnsi="Times New Roman" w:cs="Times New Roman"/>
          <w:sz w:val="24"/>
          <w:szCs w:val="24"/>
        </w:rPr>
      </w:pPr>
      <w:r>
        <w:rPr>
          <w:rFonts w:ascii="Times New Roman" w:hAnsi="Times New Roman" w:cs="Times New Roman"/>
          <w:b/>
          <w:bCs/>
          <w:sz w:val="24"/>
          <w:szCs w:val="24"/>
        </w:rPr>
        <w:t>Pelibatan pemangku kepentingan (</w:t>
      </w:r>
      <w:r>
        <w:rPr>
          <w:rFonts w:ascii="Times New Roman" w:hAnsi="Times New Roman" w:cs="Times New Roman"/>
          <w:b/>
          <w:bCs/>
          <w:i/>
          <w:iCs/>
          <w:sz w:val="24"/>
          <w:szCs w:val="24"/>
        </w:rPr>
        <w:t>stakeholder</w:t>
      </w:r>
      <w:r>
        <w:rPr>
          <w:rFonts w:ascii="Times New Roman" w:hAnsi="Times New Roman" w:cs="Times New Roman"/>
          <w:b/>
          <w:bCs/>
          <w:sz w:val="24"/>
          <w:szCs w:val="24"/>
        </w:rPr>
        <w:t xml:space="preserve"> </w:t>
      </w:r>
      <w:r>
        <w:rPr>
          <w:rFonts w:ascii="Times New Roman" w:hAnsi="Times New Roman" w:cs="Times New Roman"/>
          <w:b/>
          <w:bCs/>
          <w:i/>
          <w:iCs/>
          <w:sz w:val="24"/>
          <w:szCs w:val="24"/>
        </w:rPr>
        <w:t>inclusiveness</w:t>
      </w:r>
      <w:r>
        <w:rPr>
          <w:rFonts w:ascii="Times New Roman" w:hAnsi="Times New Roman" w:cs="Times New Roman"/>
          <w:b/>
          <w:bCs/>
          <w:sz w:val="24"/>
          <w:szCs w:val="24"/>
        </w:rPr>
        <w:t>)</w:t>
      </w:r>
      <w:r>
        <w:rPr>
          <w:rFonts w:ascii="Times New Roman" w:hAnsi="Times New Roman" w:cs="Times New Roman"/>
          <w:sz w:val="24"/>
          <w:szCs w:val="24"/>
        </w:rPr>
        <w:t>: pengambilan keputusan yang dilakukan oleh organisasi dan pemangku kepentingan akan mempengaruhi isi laporan keberlanjutan. Keterlibatan pemangku kepentingan merupakan bentuk pertanggungjawaban organisasi dalam memenuhi harapan dan keinginan pemangku kepentingan itu sendiri.</w:t>
      </w:r>
    </w:p>
    <w:p w14:paraId="33DD6F71" w14:textId="77777777" w:rsidR="006D3F6D" w:rsidRDefault="006D3F6D" w:rsidP="006D3F6D">
      <w:pPr>
        <w:pStyle w:val="ListParagraph"/>
        <w:numPr>
          <w:ilvl w:val="0"/>
          <w:numId w:val="2"/>
        </w:numPr>
        <w:spacing w:after="120" w:line="360" w:lineRule="auto"/>
        <w:ind w:left="1134"/>
        <w:jc w:val="both"/>
        <w:rPr>
          <w:rFonts w:ascii="Times New Roman" w:hAnsi="Times New Roman" w:cs="Times New Roman"/>
          <w:sz w:val="24"/>
          <w:szCs w:val="24"/>
        </w:rPr>
      </w:pPr>
      <w:r>
        <w:rPr>
          <w:rFonts w:ascii="Times New Roman" w:hAnsi="Times New Roman" w:cs="Times New Roman"/>
          <w:b/>
          <w:bCs/>
          <w:sz w:val="24"/>
          <w:szCs w:val="24"/>
        </w:rPr>
        <w:lastRenderedPageBreak/>
        <w:t>Konteks keberlanjutan (</w:t>
      </w:r>
      <w:r>
        <w:rPr>
          <w:rFonts w:ascii="Times New Roman" w:hAnsi="Times New Roman" w:cs="Times New Roman"/>
          <w:b/>
          <w:bCs/>
          <w:i/>
          <w:iCs/>
          <w:sz w:val="24"/>
          <w:szCs w:val="24"/>
        </w:rPr>
        <w:t>sustainability</w:t>
      </w:r>
      <w:r>
        <w:rPr>
          <w:rFonts w:ascii="Times New Roman" w:hAnsi="Times New Roman" w:cs="Times New Roman"/>
          <w:b/>
          <w:bCs/>
          <w:sz w:val="24"/>
          <w:szCs w:val="24"/>
        </w:rPr>
        <w:t xml:space="preserve"> </w:t>
      </w:r>
      <w:r>
        <w:rPr>
          <w:rFonts w:ascii="Times New Roman" w:hAnsi="Times New Roman" w:cs="Times New Roman"/>
          <w:b/>
          <w:bCs/>
          <w:i/>
          <w:iCs/>
          <w:sz w:val="24"/>
          <w:szCs w:val="24"/>
        </w:rPr>
        <w:t>context</w:t>
      </w:r>
      <w:r>
        <w:rPr>
          <w:rFonts w:ascii="Times New Roman" w:hAnsi="Times New Roman" w:cs="Times New Roman"/>
          <w:b/>
          <w:bCs/>
          <w:sz w:val="24"/>
          <w:szCs w:val="24"/>
        </w:rPr>
        <w:t>)</w:t>
      </w:r>
      <w:r>
        <w:rPr>
          <w:rFonts w:ascii="Times New Roman" w:hAnsi="Times New Roman" w:cs="Times New Roman"/>
          <w:sz w:val="24"/>
          <w:szCs w:val="24"/>
        </w:rPr>
        <w:t>: penyajian laporan yang baik memberikan informasi yang menjelaskan kinerja dari organisasi dalam hal pembangunan keberlanjutan.</w:t>
      </w:r>
    </w:p>
    <w:p w14:paraId="51091E96" w14:textId="77777777" w:rsidR="006D3F6D" w:rsidRDefault="006D3F6D" w:rsidP="006D3F6D">
      <w:pPr>
        <w:pStyle w:val="ListParagraph"/>
        <w:numPr>
          <w:ilvl w:val="0"/>
          <w:numId w:val="2"/>
        </w:numPr>
        <w:spacing w:after="120" w:line="360" w:lineRule="auto"/>
        <w:ind w:left="1134"/>
        <w:jc w:val="both"/>
        <w:rPr>
          <w:rFonts w:ascii="Times New Roman" w:hAnsi="Times New Roman" w:cs="Times New Roman"/>
          <w:sz w:val="24"/>
          <w:szCs w:val="24"/>
        </w:rPr>
      </w:pPr>
      <w:r>
        <w:rPr>
          <w:rFonts w:ascii="Times New Roman" w:hAnsi="Times New Roman" w:cs="Times New Roman"/>
          <w:b/>
          <w:bCs/>
          <w:sz w:val="24"/>
          <w:szCs w:val="24"/>
        </w:rPr>
        <w:t>Materialitas (</w:t>
      </w:r>
      <w:r>
        <w:rPr>
          <w:rFonts w:ascii="Times New Roman" w:hAnsi="Times New Roman" w:cs="Times New Roman"/>
          <w:b/>
          <w:bCs/>
          <w:i/>
          <w:iCs/>
          <w:sz w:val="24"/>
          <w:szCs w:val="24"/>
        </w:rPr>
        <w:t>materiality</w:t>
      </w:r>
      <w:r>
        <w:rPr>
          <w:rFonts w:ascii="Times New Roman" w:hAnsi="Times New Roman" w:cs="Times New Roman"/>
          <w:b/>
          <w:bCs/>
          <w:sz w:val="24"/>
          <w:szCs w:val="24"/>
        </w:rPr>
        <w:t>):</w:t>
      </w:r>
      <w:r>
        <w:rPr>
          <w:rFonts w:ascii="Times New Roman" w:hAnsi="Times New Roman" w:cs="Times New Roman"/>
          <w:sz w:val="24"/>
          <w:szCs w:val="24"/>
        </w:rPr>
        <w:t xml:space="preserve"> informasi yang disajikan dalam laporan keberlanjutan merupakan informasi yang mampu mempengaruhi pengambilan keputusan bagi organisasi, pemangku kepentingan dan berbagai pihak berkepentingan lainnya.</w:t>
      </w:r>
    </w:p>
    <w:p w14:paraId="65E746D8" w14:textId="77777777" w:rsidR="006D3F6D" w:rsidRDefault="006D3F6D" w:rsidP="006D3F6D">
      <w:pPr>
        <w:pStyle w:val="ListParagraph"/>
        <w:numPr>
          <w:ilvl w:val="0"/>
          <w:numId w:val="2"/>
        </w:numPr>
        <w:spacing w:after="120" w:line="360" w:lineRule="auto"/>
        <w:ind w:left="1134"/>
        <w:jc w:val="both"/>
        <w:rPr>
          <w:rFonts w:ascii="Times New Roman" w:hAnsi="Times New Roman" w:cs="Times New Roman"/>
          <w:sz w:val="24"/>
          <w:szCs w:val="24"/>
        </w:rPr>
      </w:pPr>
      <w:r>
        <w:rPr>
          <w:rFonts w:ascii="Times New Roman" w:hAnsi="Times New Roman" w:cs="Times New Roman"/>
          <w:b/>
          <w:bCs/>
          <w:sz w:val="24"/>
          <w:szCs w:val="24"/>
        </w:rPr>
        <w:t>Kelengkapan (</w:t>
      </w:r>
      <w:r>
        <w:rPr>
          <w:rFonts w:ascii="Times New Roman" w:hAnsi="Times New Roman" w:cs="Times New Roman"/>
          <w:b/>
          <w:bCs/>
          <w:i/>
          <w:iCs/>
          <w:sz w:val="24"/>
          <w:szCs w:val="24"/>
        </w:rPr>
        <w:t>completeness</w:t>
      </w:r>
      <w:r>
        <w:rPr>
          <w:rFonts w:ascii="Times New Roman" w:hAnsi="Times New Roman" w:cs="Times New Roman"/>
          <w:b/>
          <w:bCs/>
          <w:sz w:val="24"/>
          <w:szCs w:val="24"/>
        </w:rPr>
        <w:t>)</w:t>
      </w:r>
      <w:r>
        <w:rPr>
          <w:rFonts w:ascii="Times New Roman" w:hAnsi="Times New Roman" w:cs="Times New Roman"/>
          <w:sz w:val="24"/>
          <w:szCs w:val="24"/>
        </w:rPr>
        <w:t>: laporan yang disajikan harus mencakup semua kelengkapan yang merujuk pada dimensi ruang lingkup, batasan dan waktu. Selain itu, informasi yang disajikan juga harus memadai dan relevan.</w:t>
      </w:r>
    </w:p>
    <w:p w14:paraId="7495AAF3" w14:textId="77777777" w:rsidR="006D3F6D" w:rsidRDefault="006D3F6D" w:rsidP="006D3F6D">
      <w:pPr>
        <w:pStyle w:val="ListParagraph"/>
        <w:spacing w:after="120" w:line="360" w:lineRule="auto"/>
        <w:ind w:left="1134"/>
        <w:jc w:val="both"/>
        <w:rPr>
          <w:rFonts w:ascii="Times New Roman" w:hAnsi="Times New Roman" w:cs="Times New Roman"/>
          <w:sz w:val="24"/>
          <w:szCs w:val="24"/>
        </w:rPr>
      </w:pPr>
    </w:p>
    <w:p w14:paraId="2CCC2E5B" w14:textId="77777777" w:rsidR="006D3F6D" w:rsidRDefault="006D3F6D" w:rsidP="006D3F6D">
      <w:pPr>
        <w:pStyle w:val="ListParagraph"/>
        <w:numPr>
          <w:ilvl w:val="0"/>
          <w:numId w:val="3"/>
        </w:numPr>
        <w:spacing w:after="120" w:line="360" w:lineRule="auto"/>
        <w:ind w:left="851"/>
        <w:jc w:val="both"/>
        <w:rPr>
          <w:rFonts w:ascii="Times New Roman" w:hAnsi="Times New Roman" w:cs="Times New Roman"/>
          <w:sz w:val="24"/>
          <w:szCs w:val="24"/>
        </w:rPr>
      </w:pPr>
      <w:r>
        <w:rPr>
          <w:rFonts w:ascii="Times New Roman" w:hAnsi="Times New Roman" w:cs="Times New Roman"/>
          <w:sz w:val="24"/>
          <w:szCs w:val="24"/>
        </w:rPr>
        <w:t>Prinsip menentukan isi laporan:</w:t>
      </w:r>
    </w:p>
    <w:p w14:paraId="301B1920" w14:textId="77777777" w:rsidR="006D3F6D" w:rsidRDefault="006D3F6D" w:rsidP="006D3F6D">
      <w:pPr>
        <w:pStyle w:val="ListParagraph"/>
        <w:numPr>
          <w:ilvl w:val="0"/>
          <w:numId w:val="4"/>
        </w:numPr>
        <w:spacing w:after="120" w:line="360" w:lineRule="auto"/>
        <w:ind w:left="1134"/>
        <w:jc w:val="both"/>
        <w:rPr>
          <w:rFonts w:ascii="Times New Roman" w:hAnsi="Times New Roman" w:cs="Times New Roman"/>
          <w:sz w:val="24"/>
          <w:szCs w:val="24"/>
        </w:rPr>
      </w:pPr>
      <w:r>
        <w:rPr>
          <w:rFonts w:ascii="Times New Roman" w:hAnsi="Times New Roman" w:cs="Times New Roman"/>
          <w:b/>
          <w:bCs/>
          <w:sz w:val="24"/>
          <w:szCs w:val="24"/>
        </w:rPr>
        <w:t>Keseimbangan (</w:t>
      </w:r>
      <w:r>
        <w:rPr>
          <w:rFonts w:ascii="Times New Roman" w:hAnsi="Times New Roman" w:cs="Times New Roman"/>
          <w:b/>
          <w:bCs/>
          <w:i/>
          <w:iCs/>
          <w:sz w:val="24"/>
          <w:szCs w:val="24"/>
        </w:rPr>
        <w:t>balance</w:t>
      </w:r>
      <w:r>
        <w:rPr>
          <w:rFonts w:ascii="Times New Roman" w:hAnsi="Times New Roman" w:cs="Times New Roman"/>
          <w:b/>
          <w:bCs/>
          <w:sz w:val="24"/>
          <w:szCs w:val="24"/>
        </w:rPr>
        <w:t>):</w:t>
      </w:r>
      <w:r>
        <w:rPr>
          <w:rFonts w:ascii="Times New Roman" w:hAnsi="Times New Roman" w:cs="Times New Roman"/>
          <w:sz w:val="24"/>
          <w:szCs w:val="24"/>
        </w:rPr>
        <w:t xml:space="preserve"> informasi yang disajikan harus menggambarkan seluruh aspek kinerja organisasi maupun positif, sehingga dapat memberikan informasi yang komprehensif mengenai kinerja organisasi secara penuh.</w:t>
      </w:r>
    </w:p>
    <w:p w14:paraId="1A9F9FB8" w14:textId="77777777" w:rsidR="006D3F6D" w:rsidRDefault="006D3F6D" w:rsidP="006D3F6D">
      <w:pPr>
        <w:pStyle w:val="ListParagraph"/>
        <w:numPr>
          <w:ilvl w:val="0"/>
          <w:numId w:val="4"/>
        </w:numPr>
        <w:spacing w:after="120" w:line="360" w:lineRule="auto"/>
        <w:ind w:left="1134"/>
        <w:jc w:val="both"/>
        <w:rPr>
          <w:rFonts w:ascii="Times New Roman" w:hAnsi="Times New Roman" w:cs="Times New Roman"/>
          <w:sz w:val="24"/>
          <w:szCs w:val="24"/>
        </w:rPr>
      </w:pPr>
      <w:r>
        <w:rPr>
          <w:rFonts w:ascii="Times New Roman" w:hAnsi="Times New Roman" w:cs="Times New Roman"/>
          <w:b/>
          <w:bCs/>
          <w:sz w:val="24"/>
          <w:szCs w:val="24"/>
        </w:rPr>
        <w:t>Perbandingan (</w:t>
      </w:r>
      <w:r>
        <w:rPr>
          <w:rFonts w:ascii="Times New Roman" w:hAnsi="Times New Roman" w:cs="Times New Roman"/>
          <w:b/>
          <w:bCs/>
          <w:i/>
          <w:iCs/>
          <w:sz w:val="24"/>
          <w:szCs w:val="24"/>
        </w:rPr>
        <w:t>comparabality</w:t>
      </w:r>
      <w:r>
        <w:rPr>
          <w:rFonts w:ascii="Times New Roman" w:hAnsi="Times New Roman" w:cs="Times New Roman"/>
          <w:sz w:val="24"/>
          <w:szCs w:val="24"/>
        </w:rPr>
        <w:t xml:space="preserve">): informasi yang disajikan harus dapat memberikan gambaran yang konsisten kepada pengguna informasi terkait kinerja organisasi sehingga informasi dapat diperbandingkan untuk evaluasi kinerja dan pengambilan keputusan. </w:t>
      </w:r>
    </w:p>
    <w:p w14:paraId="78BF0712" w14:textId="77777777" w:rsidR="006D3F6D" w:rsidRDefault="006D3F6D" w:rsidP="006D3F6D">
      <w:pPr>
        <w:pStyle w:val="ListParagraph"/>
        <w:numPr>
          <w:ilvl w:val="0"/>
          <w:numId w:val="4"/>
        </w:numPr>
        <w:spacing w:after="120" w:line="360" w:lineRule="auto"/>
        <w:ind w:left="1134"/>
        <w:jc w:val="both"/>
        <w:rPr>
          <w:rFonts w:ascii="Times New Roman" w:hAnsi="Times New Roman" w:cs="Times New Roman"/>
          <w:sz w:val="24"/>
          <w:szCs w:val="24"/>
        </w:rPr>
      </w:pPr>
      <w:r>
        <w:rPr>
          <w:rFonts w:ascii="Times New Roman" w:hAnsi="Times New Roman" w:cs="Times New Roman"/>
          <w:b/>
          <w:bCs/>
          <w:sz w:val="24"/>
          <w:szCs w:val="24"/>
        </w:rPr>
        <w:t>Akurat (</w:t>
      </w:r>
      <w:r>
        <w:rPr>
          <w:rFonts w:ascii="Times New Roman" w:hAnsi="Times New Roman" w:cs="Times New Roman"/>
          <w:b/>
          <w:bCs/>
          <w:i/>
          <w:iCs/>
          <w:sz w:val="24"/>
          <w:szCs w:val="24"/>
        </w:rPr>
        <w:t>accuracy</w:t>
      </w:r>
      <w:r>
        <w:rPr>
          <w:rFonts w:ascii="Times New Roman" w:hAnsi="Times New Roman" w:cs="Times New Roman"/>
          <w:b/>
          <w:bCs/>
          <w:sz w:val="24"/>
          <w:szCs w:val="24"/>
        </w:rPr>
        <w:t>):</w:t>
      </w:r>
      <w:r>
        <w:rPr>
          <w:rFonts w:ascii="Times New Roman" w:hAnsi="Times New Roman" w:cs="Times New Roman"/>
          <w:sz w:val="24"/>
          <w:szCs w:val="24"/>
        </w:rPr>
        <w:t xml:space="preserve"> informasi yang disajikan secara akurat sehingga memberikan detail kinerja organisasi.</w:t>
      </w:r>
    </w:p>
    <w:p w14:paraId="537F2457" w14:textId="77777777" w:rsidR="006D3F6D" w:rsidRDefault="006D3F6D" w:rsidP="006D3F6D">
      <w:pPr>
        <w:pStyle w:val="ListParagraph"/>
        <w:numPr>
          <w:ilvl w:val="0"/>
          <w:numId w:val="4"/>
        </w:numPr>
        <w:spacing w:after="120" w:line="360" w:lineRule="auto"/>
        <w:ind w:left="1134"/>
        <w:jc w:val="both"/>
        <w:rPr>
          <w:rFonts w:ascii="Times New Roman" w:hAnsi="Times New Roman" w:cs="Times New Roman"/>
          <w:sz w:val="24"/>
          <w:szCs w:val="24"/>
        </w:rPr>
      </w:pPr>
      <w:r>
        <w:rPr>
          <w:rFonts w:ascii="Times New Roman" w:hAnsi="Times New Roman" w:cs="Times New Roman"/>
          <w:b/>
          <w:bCs/>
          <w:sz w:val="24"/>
          <w:szCs w:val="24"/>
        </w:rPr>
        <w:t>Tepat waktu (</w:t>
      </w:r>
      <w:r>
        <w:rPr>
          <w:rFonts w:ascii="Times New Roman" w:hAnsi="Times New Roman" w:cs="Times New Roman"/>
          <w:b/>
          <w:bCs/>
          <w:i/>
          <w:iCs/>
          <w:sz w:val="24"/>
          <w:szCs w:val="24"/>
        </w:rPr>
        <w:t>timeliness</w:t>
      </w:r>
      <w:r>
        <w:rPr>
          <w:rFonts w:ascii="Times New Roman" w:hAnsi="Times New Roman" w:cs="Times New Roman"/>
          <w:b/>
          <w:bCs/>
          <w:sz w:val="24"/>
          <w:szCs w:val="24"/>
        </w:rPr>
        <w:t>):</w:t>
      </w:r>
      <w:r>
        <w:rPr>
          <w:rFonts w:ascii="Times New Roman" w:hAnsi="Times New Roman" w:cs="Times New Roman"/>
          <w:sz w:val="24"/>
          <w:szCs w:val="24"/>
        </w:rPr>
        <w:t xml:space="preserve"> penyajian informasi yang tepat waktu akan membantu pemangku kepentingan untuk mengambil keputusan di waktu tepat pula.</w:t>
      </w:r>
    </w:p>
    <w:p w14:paraId="4FA1FF89" w14:textId="77777777" w:rsidR="006D3F6D" w:rsidRDefault="006D3F6D" w:rsidP="006D3F6D">
      <w:pPr>
        <w:pStyle w:val="ListParagraph"/>
        <w:numPr>
          <w:ilvl w:val="0"/>
          <w:numId w:val="4"/>
        </w:numPr>
        <w:spacing w:after="120" w:line="360" w:lineRule="auto"/>
        <w:ind w:left="1134"/>
        <w:rPr>
          <w:rFonts w:ascii="Times New Roman" w:hAnsi="Times New Roman" w:cs="Times New Roman"/>
          <w:sz w:val="24"/>
          <w:szCs w:val="24"/>
        </w:rPr>
      </w:pPr>
      <w:r>
        <w:rPr>
          <w:rFonts w:ascii="Times New Roman" w:hAnsi="Times New Roman" w:cs="Times New Roman"/>
          <w:b/>
          <w:bCs/>
          <w:sz w:val="24"/>
          <w:szCs w:val="24"/>
        </w:rPr>
        <w:t>Kejelasan (</w:t>
      </w:r>
      <w:r>
        <w:rPr>
          <w:rFonts w:ascii="Times New Roman" w:hAnsi="Times New Roman" w:cs="Times New Roman"/>
          <w:b/>
          <w:bCs/>
          <w:i/>
          <w:iCs/>
          <w:sz w:val="24"/>
          <w:szCs w:val="24"/>
        </w:rPr>
        <w:t>clarity</w:t>
      </w:r>
      <w:r>
        <w:rPr>
          <w:rFonts w:ascii="Times New Roman" w:hAnsi="Times New Roman" w:cs="Times New Roman"/>
          <w:b/>
          <w:bCs/>
          <w:sz w:val="24"/>
          <w:szCs w:val="24"/>
        </w:rPr>
        <w:t>):</w:t>
      </w:r>
      <w:r>
        <w:rPr>
          <w:rFonts w:ascii="Times New Roman" w:hAnsi="Times New Roman" w:cs="Times New Roman"/>
          <w:sz w:val="24"/>
          <w:szCs w:val="24"/>
        </w:rPr>
        <w:t xml:space="preserve"> informasi yang diberikan haruslah memiliki kejelasan sehingga pengguna informasi memahami makna dari informasi yang disajikan.</w:t>
      </w:r>
    </w:p>
    <w:p w14:paraId="14D5141F" w14:textId="77777777" w:rsidR="006D3F6D" w:rsidRDefault="006D3F6D" w:rsidP="006D3F6D">
      <w:pPr>
        <w:pStyle w:val="ListParagraph"/>
        <w:numPr>
          <w:ilvl w:val="0"/>
          <w:numId w:val="4"/>
        </w:numPr>
        <w:spacing w:after="120" w:line="360" w:lineRule="auto"/>
        <w:ind w:left="1134"/>
        <w:jc w:val="both"/>
        <w:rPr>
          <w:rFonts w:ascii="Times New Roman" w:hAnsi="Times New Roman" w:cs="Times New Roman"/>
          <w:sz w:val="24"/>
          <w:szCs w:val="24"/>
        </w:rPr>
      </w:pPr>
      <w:r>
        <w:rPr>
          <w:rFonts w:ascii="Times New Roman" w:hAnsi="Times New Roman" w:cs="Times New Roman"/>
          <w:b/>
          <w:bCs/>
          <w:sz w:val="24"/>
          <w:szCs w:val="24"/>
        </w:rPr>
        <w:t>Keandalan (</w:t>
      </w:r>
      <w:r>
        <w:rPr>
          <w:rFonts w:ascii="Times New Roman" w:hAnsi="Times New Roman" w:cs="Times New Roman"/>
          <w:b/>
          <w:bCs/>
          <w:i/>
          <w:iCs/>
          <w:sz w:val="24"/>
          <w:szCs w:val="24"/>
        </w:rPr>
        <w:t>realibility</w:t>
      </w:r>
      <w:r>
        <w:rPr>
          <w:rFonts w:ascii="Times New Roman" w:hAnsi="Times New Roman" w:cs="Times New Roman"/>
          <w:b/>
          <w:bCs/>
          <w:sz w:val="24"/>
          <w:szCs w:val="24"/>
        </w:rPr>
        <w:t>):</w:t>
      </w:r>
      <w:r>
        <w:rPr>
          <w:rFonts w:ascii="Times New Roman" w:hAnsi="Times New Roman" w:cs="Times New Roman"/>
          <w:sz w:val="24"/>
          <w:szCs w:val="24"/>
        </w:rPr>
        <w:t xml:space="preserve"> informasi yang disajikan harus sesuai dengan sesuai dengan pedoman yang ada, dengan demikian informasi yang ada dapat diuji dan terpercaya.</w:t>
      </w:r>
    </w:p>
    <w:p w14:paraId="4D71AB93" w14:textId="77777777" w:rsidR="006D3F6D" w:rsidRDefault="006D3F6D" w:rsidP="006D3F6D">
      <w:pPr>
        <w:pStyle w:val="NormalWeb"/>
        <w:spacing w:before="0" w:beforeAutospacing="0" w:after="120" w:afterAutospacing="0" w:line="360" w:lineRule="auto"/>
        <w:jc w:val="both"/>
        <w:rPr>
          <w:color w:val="000000"/>
        </w:rPr>
      </w:pPr>
      <w:r>
        <w:rPr>
          <w:color w:val="000000"/>
        </w:rPr>
        <w:t xml:space="preserve">Pelaporan keberlanjutan dengan berdasarkan pada Standar GRI memberikan informasi tentang kontribusi positif atau negatif organisasi bagi pembangunan berkelanjutan baik dari segi dampak ekonomi, lingkungan dan sosial kepada publik. </w:t>
      </w:r>
    </w:p>
    <w:p w14:paraId="1CCFF6BA" w14:textId="77777777" w:rsidR="006D3F6D" w:rsidRDefault="006D3F6D" w:rsidP="006D3F6D">
      <w:pPr>
        <w:pStyle w:val="NormalWeb"/>
        <w:spacing w:before="0" w:beforeAutospacing="0" w:after="120" w:afterAutospacing="0" w:line="360" w:lineRule="auto"/>
        <w:jc w:val="both"/>
        <w:rPr>
          <w:color w:val="000000"/>
        </w:rPr>
      </w:pPr>
    </w:p>
    <w:p w14:paraId="71390C9E" w14:textId="77777777" w:rsidR="006D3F6D" w:rsidRDefault="006D3F6D" w:rsidP="006D3F6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KERANGKA SIGMA PROJECT</w:t>
      </w:r>
    </w:p>
    <w:p w14:paraId="34A5FB71"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Pedoman ini memberikan saran yang jelas dan praktis kepada organisasi untuk memungkinkan mereka memberikan kontribusi yang berarti bagi pembangunan berkelanjutan. Panduan ini  membantu organisasi untuk secara efektif menghadapi tantangan yang ditimbulkan oleh dilema sosial, lingkungan dan ekonomi, ancaman dan peluang serta menjadi penentu masa depan dalam pembangunan berkelanjutan. Pedoman SIGMA diperkenalkan pada tahun 1999. Proyek ini diperkenalkan dengan tujuan awal untuk mendukung Departemen Perdagangan dan Industri Inggris. Terdapat dua elemen inti prinsip panduan SIGMA: pengelolaan holistik dari lima jenis modal dan akuntabilitas yakni transparansi terhadap kepentingan pemangku kepentingan dan memenuhi aturan serta standar yang relevan. Selain dua elemen tersebut, terdapat lima modal atau komponen yang digunakan oleh organisasi untuk menghasilkan produk.</w:t>
      </w:r>
    </w:p>
    <w:p w14:paraId="5EABE335"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Adapun lima modal dari pedoman SIGMA yaitu:</w:t>
      </w:r>
    </w:p>
    <w:p w14:paraId="03385B33" w14:textId="77777777" w:rsidR="006D3F6D" w:rsidRDefault="006D3F6D" w:rsidP="006D3F6D">
      <w:pPr>
        <w:pStyle w:val="ListParagraph"/>
        <w:numPr>
          <w:ilvl w:val="0"/>
          <w:numId w:val="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Modal Alam (</w:t>
      </w:r>
      <w:r>
        <w:rPr>
          <w:rFonts w:ascii="Times New Roman" w:hAnsi="Times New Roman" w:cs="Times New Roman"/>
          <w:i/>
          <w:iCs/>
          <w:sz w:val="24"/>
          <w:szCs w:val="24"/>
        </w:rPr>
        <w:t>Natural</w:t>
      </w:r>
      <w:r>
        <w:rPr>
          <w:rFonts w:ascii="Times New Roman" w:hAnsi="Times New Roman" w:cs="Times New Roman"/>
          <w:sz w:val="24"/>
          <w:szCs w:val="24"/>
        </w:rPr>
        <w:t xml:space="preserve"> </w:t>
      </w:r>
      <w:r>
        <w:rPr>
          <w:rFonts w:ascii="Times New Roman" w:hAnsi="Times New Roman" w:cs="Times New Roman"/>
          <w:i/>
          <w:iCs/>
          <w:sz w:val="24"/>
          <w:szCs w:val="24"/>
        </w:rPr>
        <w:t>Capital</w:t>
      </w:r>
      <w:r>
        <w:rPr>
          <w:rFonts w:ascii="Times New Roman" w:hAnsi="Times New Roman" w:cs="Times New Roman"/>
          <w:sz w:val="24"/>
          <w:szCs w:val="24"/>
        </w:rPr>
        <w:t xml:space="preserve">): merupakan sumber daya alam seperti energi dan materi yang digunakan oleh organisasi untuk menghasilkan produk ataupun layanan yang akan diberikan kepada publik. </w:t>
      </w:r>
    </w:p>
    <w:p w14:paraId="240F5912" w14:textId="77777777" w:rsidR="006D3F6D" w:rsidRDefault="006D3F6D" w:rsidP="006D3F6D">
      <w:pPr>
        <w:pStyle w:val="ListParagraph"/>
        <w:numPr>
          <w:ilvl w:val="0"/>
          <w:numId w:val="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Modal Manusia (</w:t>
      </w:r>
      <w:r>
        <w:rPr>
          <w:rFonts w:ascii="Times New Roman" w:hAnsi="Times New Roman" w:cs="Times New Roman"/>
          <w:i/>
          <w:iCs/>
          <w:sz w:val="24"/>
          <w:szCs w:val="24"/>
        </w:rPr>
        <w:t>Human</w:t>
      </w:r>
      <w:r>
        <w:rPr>
          <w:rFonts w:ascii="Times New Roman" w:hAnsi="Times New Roman" w:cs="Times New Roman"/>
          <w:sz w:val="24"/>
          <w:szCs w:val="24"/>
        </w:rPr>
        <w:t xml:space="preserve"> </w:t>
      </w:r>
      <w:r>
        <w:rPr>
          <w:rFonts w:ascii="Times New Roman" w:hAnsi="Times New Roman" w:cs="Times New Roman"/>
          <w:i/>
          <w:iCs/>
          <w:sz w:val="24"/>
          <w:szCs w:val="24"/>
        </w:rPr>
        <w:t>Capital</w:t>
      </w:r>
      <w:r>
        <w:rPr>
          <w:rFonts w:ascii="Times New Roman" w:hAnsi="Times New Roman" w:cs="Times New Roman"/>
          <w:sz w:val="24"/>
          <w:szCs w:val="24"/>
        </w:rPr>
        <w:t>): modal ini menggabungkan hubungan manusia (terdiri dari kesehatan, pengetahuan, keterampilan, motivasi, intelektual dan kapasitas) yang dibutuhkan oleh organisasi untuk terlibat dalam proses menghasilkan produk dan peningkatan kekayaan organisasi. Modal manusia juga termasuk martabat, sukacita, gairah, empati dan spiritualitas.</w:t>
      </w:r>
    </w:p>
    <w:p w14:paraId="7BD8BB17" w14:textId="77777777" w:rsidR="006D3F6D" w:rsidRDefault="006D3F6D" w:rsidP="006D3F6D">
      <w:pPr>
        <w:pStyle w:val="ListParagraph"/>
        <w:numPr>
          <w:ilvl w:val="0"/>
          <w:numId w:val="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Modal Sosial (</w:t>
      </w:r>
      <w:r>
        <w:rPr>
          <w:rFonts w:ascii="Times New Roman" w:hAnsi="Times New Roman" w:cs="Times New Roman"/>
          <w:i/>
          <w:iCs/>
          <w:sz w:val="24"/>
          <w:szCs w:val="24"/>
        </w:rPr>
        <w:t>Social</w:t>
      </w:r>
      <w:r>
        <w:rPr>
          <w:rFonts w:ascii="Times New Roman" w:hAnsi="Times New Roman" w:cs="Times New Roman"/>
          <w:sz w:val="24"/>
          <w:szCs w:val="24"/>
        </w:rPr>
        <w:t xml:space="preserve"> </w:t>
      </w:r>
      <w:r>
        <w:rPr>
          <w:rFonts w:ascii="Times New Roman" w:hAnsi="Times New Roman" w:cs="Times New Roman"/>
          <w:i/>
          <w:iCs/>
          <w:sz w:val="24"/>
          <w:szCs w:val="24"/>
        </w:rPr>
        <w:t>Capital</w:t>
      </w:r>
      <w:r>
        <w:rPr>
          <w:rFonts w:ascii="Times New Roman" w:hAnsi="Times New Roman" w:cs="Times New Roman"/>
          <w:sz w:val="24"/>
          <w:szCs w:val="24"/>
        </w:rPr>
        <w:t>): nilai yang ditambahkan  ke dalam aktivitas dan keluaran ekonomi organisasi. Misalnya: komunitas, bisnis, serikat dagang dan nilai-nilai kepercayaan dan norma-norma budaya.</w:t>
      </w:r>
    </w:p>
    <w:p w14:paraId="448E5100" w14:textId="77777777" w:rsidR="006D3F6D" w:rsidRDefault="006D3F6D" w:rsidP="006D3F6D">
      <w:pPr>
        <w:pStyle w:val="ListParagraph"/>
        <w:numPr>
          <w:ilvl w:val="0"/>
          <w:numId w:val="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Modal Manufaktur (</w:t>
      </w:r>
      <w:r>
        <w:rPr>
          <w:rFonts w:ascii="Times New Roman" w:hAnsi="Times New Roman" w:cs="Times New Roman"/>
          <w:i/>
          <w:iCs/>
          <w:sz w:val="24"/>
          <w:szCs w:val="24"/>
        </w:rPr>
        <w:t>Manufactured</w:t>
      </w:r>
      <w:r>
        <w:rPr>
          <w:rFonts w:ascii="Times New Roman" w:hAnsi="Times New Roman" w:cs="Times New Roman"/>
          <w:sz w:val="24"/>
          <w:szCs w:val="24"/>
        </w:rPr>
        <w:t xml:space="preserve"> </w:t>
      </w:r>
      <w:r>
        <w:rPr>
          <w:rFonts w:ascii="Times New Roman" w:hAnsi="Times New Roman" w:cs="Times New Roman"/>
          <w:i/>
          <w:iCs/>
          <w:sz w:val="24"/>
          <w:szCs w:val="24"/>
        </w:rPr>
        <w:t>Capital</w:t>
      </w:r>
      <w:r>
        <w:rPr>
          <w:rFonts w:ascii="Times New Roman" w:hAnsi="Times New Roman" w:cs="Times New Roman"/>
          <w:sz w:val="24"/>
          <w:szCs w:val="24"/>
        </w:rPr>
        <w:t xml:space="preserve">): merupakan modal berupa infrastruktur dan produk yang dimiliki, disewakan ataupun dikendalikan oleh organisasi yang digunakan untuk menghasilkan produk. Contoh: gedung, mesin, dan infrastruktur lainnya. </w:t>
      </w:r>
    </w:p>
    <w:p w14:paraId="22C6395B" w14:textId="77777777" w:rsidR="006D3F6D" w:rsidRDefault="006D3F6D" w:rsidP="006D3F6D">
      <w:pPr>
        <w:pStyle w:val="ListParagraph"/>
        <w:numPr>
          <w:ilvl w:val="0"/>
          <w:numId w:val="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Modal Keuangan (</w:t>
      </w:r>
      <w:r>
        <w:rPr>
          <w:rFonts w:ascii="Times New Roman" w:hAnsi="Times New Roman" w:cs="Times New Roman"/>
          <w:i/>
          <w:iCs/>
          <w:sz w:val="24"/>
          <w:szCs w:val="24"/>
        </w:rPr>
        <w:t>Finansial</w:t>
      </w:r>
      <w:r>
        <w:rPr>
          <w:rFonts w:ascii="Times New Roman" w:hAnsi="Times New Roman" w:cs="Times New Roman"/>
          <w:sz w:val="24"/>
          <w:szCs w:val="24"/>
        </w:rPr>
        <w:t xml:space="preserve"> </w:t>
      </w:r>
      <w:r>
        <w:rPr>
          <w:rFonts w:ascii="Times New Roman" w:hAnsi="Times New Roman" w:cs="Times New Roman"/>
          <w:i/>
          <w:iCs/>
          <w:sz w:val="24"/>
          <w:szCs w:val="24"/>
        </w:rPr>
        <w:t>Capital</w:t>
      </w:r>
      <w:r>
        <w:rPr>
          <w:rFonts w:ascii="Times New Roman" w:hAnsi="Times New Roman" w:cs="Times New Roman"/>
          <w:sz w:val="24"/>
          <w:szCs w:val="24"/>
        </w:rPr>
        <w:t>): merupakan modal terpenting yang mampu mencerminkan tingkat produktivitas organisasi. Modal ini mencakup aset yang dapat diperjualbelikan oleh organisasi dan juga aset likuid lainnya seperti saham, obligasi dan uang yang beredar.</w:t>
      </w:r>
    </w:p>
    <w:p w14:paraId="29930F0F" w14:textId="77777777" w:rsidR="006D3F6D" w:rsidRDefault="006D3F6D" w:rsidP="006D3F6D">
      <w:pPr>
        <w:pStyle w:val="ListParagraph"/>
        <w:spacing w:after="120" w:line="360" w:lineRule="auto"/>
        <w:jc w:val="both"/>
        <w:rPr>
          <w:rFonts w:ascii="Times New Roman" w:hAnsi="Times New Roman" w:cs="Times New Roman"/>
          <w:sz w:val="24"/>
          <w:szCs w:val="24"/>
        </w:rPr>
      </w:pPr>
    </w:p>
    <w:p w14:paraId="09B5725E" w14:textId="77777777" w:rsidR="006D3F6D" w:rsidRDefault="006D3F6D" w:rsidP="006D3F6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KERANGKA DRIVER PRESURE STATE IMPACT RESPONSE</w:t>
      </w:r>
    </w:p>
    <w:p w14:paraId="10F1314E"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DPSIR (</w:t>
      </w:r>
      <w:r>
        <w:rPr>
          <w:rFonts w:ascii="Times New Roman" w:hAnsi="Times New Roman" w:cs="Times New Roman"/>
          <w:i/>
          <w:iCs/>
          <w:sz w:val="24"/>
          <w:szCs w:val="24"/>
        </w:rPr>
        <w:t>Driver, Pressure, State, Impact</w:t>
      </w:r>
      <w:r>
        <w:rPr>
          <w:rFonts w:ascii="Times New Roman" w:hAnsi="Times New Roman" w:cs="Times New Roman"/>
          <w:sz w:val="24"/>
          <w:szCs w:val="24"/>
        </w:rPr>
        <w:t xml:space="preserve"> dan </w:t>
      </w:r>
      <w:r>
        <w:rPr>
          <w:rFonts w:ascii="Times New Roman" w:hAnsi="Times New Roman" w:cs="Times New Roman"/>
          <w:i/>
          <w:iCs/>
          <w:sz w:val="24"/>
          <w:szCs w:val="24"/>
        </w:rPr>
        <w:t>Response</w:t>
      </w:r>
      <w:r>
        <w:rPr>
          <w:rFonts w:ascii="Times New Roman" w:hAnsi="Times New Roman" w:cs="Times New Roman"/>
          <w:sz w:val="24"/>
          <w:szCs w:val="24"/>
        </w:rPr>
        <w:t xml:space="preserve">) adalah kerangka kerja menganalisis hubungan penting dan saling terkait antara faktor sosial dan lingkungan. Kerangka kerja ini merupakan salah satu kerangka kerja populer yang diterima dengan baik secara internasional. Kerangka ini merupakan hasil perluasan dari PSR model yang dikembangkan oleh OECD. Kerangka ini menyoroti indikator-indikator yang diperlukan untuk memungkinkan adanya umpan balik tentang dampak yang dihasilkan dari pilihan kebijakan saat ini dan masa depan. </w:t>
      </w:r>
    </w:p>
    <w:p w14:paraId="0FFD36CF" w14:textId="77777777" w:rsidR="006D3F6D" w:rsidRDefault="006D3F6D" w:rsidP="006D3F6D">
      <w:pPr>
        <w:pStyle w:val="ListParagraph"/>
        <w:numPr>
          <w:ilvl w:val="1"/>
          <w:numId w:val="6"/>
        </w:numPr>
        <w:spacing w:after="120" w:line="360" w:lineRule="auto"/>
        <w:ind w:left="426"/>
        <w:jc w:val="both"/>
        <w:rPr>
          <w:rFonts w:ascii="Times New Roman" w:hAnsi="Times New Roman" w:cs="Times New Roman"/>
          <w:sz w:val="24"/>
          <w:szCs w:val="24"/>
        </w:rPr>
      </w:pPr>
      <w:r>
        <w:rPr>
          <w:rFonts w:ascii="Times New Roman" w:hAnsi="Times New Roman" w:cs="Times New Roman"/>
          <w:b/>
          <w:bCs/>
          <w:i/>
          <w:iCs/>
          <w:sz w:val="24"/>
          <w:szCs w:val="24"/>
        </w:rPr>
        <w:t>Drivers</w:t>
      </w:r>
      <w:r>
        <w:rPr>
          <w:rFonts w:ascii="Times New Roman" w:hAnsi="Times New Roman" w:cs="Times New Roman"/>
          <w:b/>
          <w:bCs/>
          <w:sz w:val="24"/>
          <w:szCs w:val="24"/>
        </w:rPr>
        <w:t>:</w:t>
      </w:r>
      <w:r>
        <w:rPr>
          <w:rFonts w:ascii="Times New Roman" w:hAnsi="Times New Roman" w:cs="Times New Roman"/>
          <w:sz w:val="24"/>
          <w:szCs w:val="24"/>
        </w:rPr>
        <w:t xml:space="preserve"> dapat diartikan sebagai kebutuhan. Sebagai contoh dalam sektor industri, yang menjadi kebutuhan pelaku industri adalah keuntungan yang dapat dihasilkan dengan biaya yang serendah-rendahnya. Contoh lain drivers state adalah populasi (jumlah, struktur usia, tingkat pendidikan, stabilitas politik), pertanian (jumlah hewan, jenis tanaman, kandang, pupuk) dan sebagainya. </w:t>
      </w:r>
    </w:p>
    <w:p w14:paraId="002C62E4" w14:textId="77777777" w:rsidR="006D3F6D" w:rsidRDefault="006D3F6D" w:rsidP="006D3F6D">
      <w:pPr>
        <w:pStyle w:val="ListParagraph"/>
        <w:numPr>
          <w:ilvl w:val="1"/>
          <w:numId w:val="6"/>
        </w:numPr>
        <w:spacing w:after="120" w:line="360" w:lineRule="auto"/>
        <w:ind w:left="426"/>
        <w:jc w:val="both"/>
        <w:rPr>
          <w:rFonts w:ascii="Times New Roman" w:hAnsi="Times New Roman" w:cs="Times New Roman"/>
          <w:sz w:val="24"/>
          <w:szCs w:val="24"/>
        </w:rPr>
      </w:pPr>
      <w:r>
        <w:rPr>
          <w:rFonts w:ascii="Times New Roman" w:hAnsi="Times New Roman" w:cs="Times New Roman"/>
          <w:b/>
          <w:bCs/>
          <w:i/>
          <w:iCs/>
          <w:sz w:val="24"/>
          <w:szCs w:val="24"/>
        </w:rPr>
        <w:t>State</w:t>
      </w:r>
      <w:r>
        <w:rPr>
          <w:rFonts w:ascii="Times New Roman" w:hAnsi="Times New Roman" w:cs="Times New Roman"/>
          <w:sz w:val="24"/>
          <w:szCs w:val="24"/>
        </w:rPr>
        <w:t>: merupakan gambaran dari lingkungan yang terpengaruh. Hal ini dapat dilihat dari kualitas lingkungan seperti air, udara, tanah, termasuk dengan kondisi ekosistem seperti tingkat keragaman hayati, vegetasi dan sebagainya. Keadaan lingkungan adalah kombinasi kondisi fisik, kimia dan biologi.</w:t>
      </w:r>
    </w:p>
    <w:p w14:paraId="41DA8771" w14:textId="77777777" w:rsidR="006D3F6D" w:rsidRDefault="006D3F6D" w:rsidP="006D3F6D">
      <w:pPr>
        <w:pStyle w:val="ListParagraph"/>
        <w:numPr>
          <w:ilvl w:val="1"/>
          <w:numId w:val="6"/>
        </w:numPr>
        <w:spacing w:after="120" w:line="360" w:lineRule="auto"/>
        <w:ind w:left="426"/>
        <w:jc w:val="both"/>
        <w:rPr>
          <w:rFonts w:ascii="Times New Roman" w:hAnsi="Times New Roman" w:cs="Times New Roman"/>
          <w:sz w:val="24"/>
          <w:szCs w:val="24"/>
        </w:rPr>
      </w:pPr>
      <w:r>
        <w:rPr>
          <w:rFonts w:ascii="Times New Roman" w:hAnsi="Times New Roman" w:cs="Times New Roman"/>
          <w:b/>
          <w:bCs/>
          <w:i/>
          <w:iCs/>
          <w:sz w:val="24"/>
          <w:szCs w:val="24"/>
        </w:rPr>
        <w:t>Impact</w:t>
      </w:r>
      <w:r>
        <w:rPr>
          <w:rFonts w:ascii="Times New Roman" w:hAnsi="Times New Roman" w:cs="Times New Roman"/>
          <w:sz w:val="24"/>
          <w:szCs w:val="24"/>
        </w:rPr>
        <w:t xml:space="preserve">: sama halnya dengan </w:t>
      </w:r>
      <w:r>
        <w:rPr>
          <w:rFonts w:ascii="Times New Roman" w:hAnsi="Times New Roman" w:cs="Times New Roman"/>
          <w:i/>
          <w:iCs/>
          <w:sz w:val="24"/>
          <w:szCs w:val="24"/>
        </w:rPr>
        <w:t>state, impact</w:t>
      </w:r>
      <w:r>
        <w:rPr>
          <w:rFonts w:ascii="Times New Roman" w:hAnsi="Times New Roman" w:cs="Times New Roman"/>
          <w:sz w:val="24"/>
          <w:szCs w:val="24"/>
        </w:rPr>
        <w:t xml:space="preserve"> adalah bentuk perubahan fisik, kimia atau biologi lingkungan yang ikut terpengaruh dan hal inilah yang menentukan kualitas ekosistem dan kesejahteraan manusia. Secara lebih luas, dampak yang dihasilkan akan mempengaruhi kesehatan manusia , kinerja ekonomi dan sosial masyarakat.</w:t>
      </w:r>
    </w:p>
    <w:p w14:paraId="778ABFE2" w14:textId="77777777" w:rsidR="006D3F6D" w:rsidRDefault="006D3F6D" w:rsidP="006D3F6D">
      <w:pPr>
        <w:pStyle w:val="ListParagraph"/>
        <w:numPr>
          <w:ilvl w:val="1"/>
          <w:numId w:val="6"/>
        </w:numPr>
        <w:spacing w:after="120" w:line="360" w:lineRule="auto"/>
        <w:ind w:left="426"/>
        <w:jc w:val="both"/>
        <w:rPr>
          <w:rFonts w:ascii="Times New Roman" w:hAnsi="Times New Roman" w:cs="Times New Roman"/>
          <w:sz w:val="24"/>
          <w:szCs w:val="24"/>
        </w:rPr>
      </w:pPr>
      <w:r>
        <w:rPr>
          <w:rFonts w:ascii="Times New Roman" w:hAnsi="Times New Roman" w:cs="Times New Roman"/>
          <w:b/>
          <w:bCs/>
          <w:i/>
          <w:iCs/>
          <w:sz w:val="24"/>
          <w:szCs w:val="24"/>
        </w:rPr>
        <w:t>Response</w:t>
      </w:r>
      <w:r>
        <w:rPr>
          <w:rFonts w:ascii="Times New Roman" w:hAnsi="Times New Roman" w:cs="Times New Roman"/>
          <w:sz w:val="24"/>
          <w:szCs w:val="24"/>
        </w:rPr>
        <w:t xml:space="preserve">: merupakan hasil dari dampak yang tidak diinginkan dan dapat mempengaruhi pemicu dari </w:t>
      </w:r>
      <w:r>
        <w:rPr>
          <w:rFonts w:ascii="Times New Roman" w:hAnsi="Times New Roman" w:cs="Times New Roman"/>
          <w:i/>
          <w:iCs/>
          <w:sz w:val="24"/>
          <w:szCs w:val="24"/>
        </w:rPr>
        <w:t>drivers</w:t>
      </w:r>
      <w:r>
        <w:rPr>
          <w:rFonts w:ascii="Times New Roman" w:hAnsi="Times New Roman" w:cs="Times New Roman"/>
          <w:sz w:val="24"/>
          <w:szCs w:val="24"/>
        </w:rPr>
        <w:t xml:space="preserve"> yang ada. </w:t>
      </w:r>
    </w:p>
    <w:p w14:paraId="20F0346B" w14:textId="77777777" w:rsidR="006D3F6D" w:rsidRDefault="006D3F6D" w:rsidP="006D3F6D">
      <w:pPr>
        <w:pStyle w:val="ListParagraph"/>
        <w:spacing w:after="120" w:line="360" w:lineRule="auto"/>
        <w:ind w:left="426"/>
        <w:jc w:val="both"/>
        <w:rPr>
          <w:rFonts w:ascii="Times New Roman" w:hAnsi="Times New Roman" w:cs="Times New Roman"/>
          <w:sz w:val="24"/>
          <w:szCs w:val="24"/>
        </w:rPr>
      </w:pPr>
    </w:p>
    <w:p w14:paraId="3A17B554" w14:textId="77777777" w:rsidR="006D3F6D" w:rsidRDefault="006D3F6D" w:rsidP="006D3F6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THE UNITED NATIONS GLOBAL COMPACT</w:t>
      </w:r>
    </w:p>
    <w:p w14:paraId="3A9423CB"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i/>
          <w:iCs/>
          <w:sz w:val="24"/>
          <w:szCs w:val="24"/>
        </w:rPr>
        <w:t>The United Nations Global Compact</w:t>
      </w:r>
      <w:r>
        <w:rPr>
          <w:rFonts w:ascii="Times New Roman" w:hAnsi="Times New Roman" w:cs="Times New Roman"/>
          <w:sz w:val="24"/>
          <w:szCs w:val="24"/>
        </w:rPr>
        <w:t xml:space="preserve"> adalah pakta PBB yang tidak mengikat untuk mendorong bisnis untuk mengadopsi kebijakan yang berkelanjutan dan bertanggung jawab secara sosial dan melaporkan penerapannya. Dengan kata lain, </w:t>
      </w:r>
      <w:r>
        <w:rPr>
          <w:rFonts w:ascii="Times New Roman" w:hAnsi="Times New Roman" w:cs="Times New Roman"/>
          <w:i/>
          <w:iCs/>
          <w:sz w:val="24"/>
          <w:szCs w:val="24"/>
        </w:rPr>
        <w:t>The United Nations Global Compact</w:t>
      </w:r>
      <w:r>
        <w:rPr>
          <w:rFonts w:ascii="Times New Roman" w:hAnsi="Times New Roman" w:cs="Times New Roman"/>
          <w:sz w:val="24"/>
          <w:szCs w:val="24"/>
        </w:rPr>
        <w:t xml:space="preserve"> merupakan inisiatif sukarela berdasarkan komitmen CEO untuk menerapkan prinsip-prinsip keberlanjutan universal dan mengambil langkah-langkah untuk mendukung tujuan PBB. UNGC adalah seruan </w:t>
      </w:r>
      <w:r>
        <w:rPr>
          <w:rFonts w:ascii="Times New Roman" w:hAnsi="Times New Roman" w:cs="Times New Roman"/>
          <w:sz w:val="24"/>
          <w:szCs w:val="24"/>
        </w:rPr>
        <w:lastRenderedPageBreak/>
        <w:t xml:space="preserve">kepada perusahaan di dunia untuk menyelaraskan operasi dan strategi mereka dengan sepuluh prinsip yang diterima secara universal di bidang hak asasi manusia, ketenagakerjaan, lingkungan dan anti-korupsi, dan untuk mengambil tindakan dalam mendukung tujuan dan masalah PBB yang terkandung dalam Pembangunan Berkelanjutan. UN </w:t>
      </w:r>
      <w:r>
        <w:rPr>
          <w:rFonts w:ascii="Times New Roman" w:hAnsi="Times New Roman" w:cs="Times New Roman"/>
          <w:i/>
          <w:iCs/>
          <w:sz w:val="24"/>
          <w:szCs w:val="24"/>
        </w:rPr>
        <w:t>Global Compact</w:t>
      </w:r>
      <w:r>
        <w:rPr>
          <w:rFonts w:ascii="Times New Roman" w:hAnsi="Times New Roman" w:cs="Times New Roman"/>
          <w:sz w:val="24"/>
          <w:szCs w:val="24"/>
        </w:rPr>
        <w:t xml:space="preserve"> sebagai platform kepemimpinan untuk pengembangan, implementasi, dan pengungkapan praktik perusahaan yang bertanggung jawab, diluncurkan pada tahun 2000 dan menjadi program inisiatif keberlanjutan perusahaan terbesar di dunia, dengan lebih dari 9.000 perusahaan dan 3.000 penandatanganan non-bisnis yang berbasis di lebih dari 160 negara, dan lebih dari 70 jaringan Lokal. UN </w:t>
      </w:r>
      <w:r>
        <w:rPr>
          <w:rFonts w:ascii="Times New Roman" w:hAnsi="Times New Roman" w:cs="Times New Roman"/>
          <w:i/>
          <w:iCs/>
          <w:sz w:val="24"/>
          <w:szCs w:val="24"/>
        </w:rPr>
        <w:t>Global</w:t>
      </w:r>
      <w:r>
        <w:rPr>
          <w:rFonts w:ascii="Times New Roman" w:hAnsi="Times New Roman" w:cs="Times New Roman"/>
          <w:sz w:val="24"/>
          <w:szCs w:val="24"/>
        </w:rPr>
        <w:t xml:space="preserve"> </w:t>
      </w:r>
      <w:r>
        <w:rPr>
          <w:rFonts w:ascii="Times New Roman" w:hAnsi="Times New Roman" w:cs="Times New Roman"/>
          <w:i/>
          <w:iCs/>
          <w:sz w:val="24"/>
          <w:szCs w:val="24"/>
        </w:rPr>
        <w:t>Compact</w:t>
      </w:r>
      <w:r>
        <w:rPr>
          <w:rFonts w:ascii="Times New Roman" w:hAnsi="Times New Roman" w:cs="Times New Roman"/>
          <w:sz w:val="24"/>
          <w:szCs w:val="24"/>
        </w:rPr>
        <w:t xml:space="preserve"> memiliki 10 prinsip yang tergabung dalam 4 dimensi utama,  yaitu:</w:t>
      </w:r>
    </w:p>
    <w:tbl>
      <w:tblPr>
        <w:tblStyle w:val="TableGrid"/>
        <w:tblW w:w="0" w:type="auto"/>
        <w:tblInd w:w="0" w:type="dxa"/>
        <w:tblLook w:val="04A0" w:firstRow="1" w:lastRow="0" w:firstColumn="1" w:lastColumn="0" w:noHBand="0" w:noVBand="1"/>
      </w:tblPr>
      <w:tblGrid>
        <w:gridCol w:w="4508"/>
        <w:gridCol w:w="4508"/>
      </w:tblGrid>
      <w:tr w:rsidR="006D3F6D" w14:paraId="5EAD95AD" w14:textId="77777777" w:rsidTr="00803745">
        <w:tc>
          <w:tcPr>
            <w:tcW w:w="4508" w:type="dxa"/>
            <w:tcBorders>
              <w:top w:val="single" w:sz="4" w:space="0" w:color="auto"/>
              <w:left w:val="single" w:sz="4" w:space="0" w:color="auto"/>
              <w:bottom w:val="single" w:sz="4" w:space="0" w:color="auto"/>
              <w:right w:val="single" w:sz="4" w:space="0" w:color="auto"/>
            </w:tcBorders>
            <w:vAlign w:val="center"/>
            <w:hideMark/>
          </w:tcPr>
          <w:p w14:paraId="602DF923" w14:textId="77777777" w:rsidR="006D3F6D" w:rsidRDefault="006D3F6D" w:rsidP="00803745">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Dimensi</w:t>
            </w:r>
          </w:p>
        </w:tc>
        <w:tc>
          <w:tcPr>
            <w:tcW w:w="4508" w:type="dxa"/>
            <w:tcBorders>
              <w:top w:val="single" w:sz="4" w:space="0" w:color="auto"/>
              <w:left w:val="single" w:sz="4" w:space="0" w:color="auto"/>
              <w:bottom w:val="single" w:sz="4" w:space="0" w:color="auto"/>
              <w:right w:val="single" w:sz="4" w:space="0" w:color="auto"/>
            </w:tcBorders>
            <w:vAlign w:val="center"/>
            <w:hideMark/>
          </w:tcPr>
          <w:p w14:paraId="5EBB9E1D" w14:textId="77777777" w:rsidR="006D3F6D" w:rsidRDefault="006D3F6D" w:rsidP="00803745">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Prinsip</w:t>
            </w:r>
          </w:p>
        </w:tc>
      </w:tr>
      <w:tr w:rsidR="006D3F6D" w14:paraId="11BE0BCB" w14:textId="77777777" w:rsidTr="00803745">
        <w:tc>
          <w:tcPr>
            <w:tcW w:w="4508" w:type="dxa"/>
            <w:tcBorders>
              <w:top w:val="single" w:sz="4" w:space="0" w:color="auto"/>
              <w:left w:val="single" w:sz="4" w:space="0" w:color="auto"/>
              <w:bottom w:val="single" w:sz="4" w:space="0" w:color="auto"/>
              <w:right w:val="single" w:sz="4" w:space="0" w:color="auto"/>
            </w:tcBorders>
            <w:hideMark/>
          </w:tcPr>
          <w:p w14:paraId="4453F134" w14:textId="77777777" w:rsidR="006D3F6D" w:rsidRDefault="006D3F6D" w:rsidP="0080374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Hak Asasi Manusia</w:t>
            </w:r>
          </w:p>
        </w:tc>
        <w:tc>
          <w:tcPr>
            <w:tcW w:w="4508" w:type="dxa"/>
            <w:tcBorders>
              <w:top w:val="single" w:sz="4" w:space="0" w:color="auto"/>
              <w:left w:val="single" w:sz="4" w:space="0" w:color="auto"/>
              <w:bottom w:val="single" w:sz="4" w:space="0" w:color="auto"/>
              <w:right w:val="single" w:sz="4" w:space="0" w:color="auto"/>
            </w:tcBorders>
            <w:hideMark/>
          </w:tcPr>
          <w:p w14:paraId="63592C2F" w14:textId="77777777" w:rsidR="006D3F6D" w:rsidRDefault="006D3F6D" w:rsidP="0080374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Prinsip 1: Bisnis harus mendukung dan menghormati perlindungan hak asasi manusia yang dinyatakan secara internasional.</w:t>
            </w:r>
          </w:p>
          <w:p w14:paraId="6F00EE2C" w14:textId="77777777" w:rsidR="006D3F6D" w:rsidRDefault="006D3F6D" w:rsidP="0080374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Prinsip 2: Memastikan bahwa bisnis tidak terlibat dalam pelanggaran hak asasi manusia.  </w:t>
            </w:r>
          </w:p>
        </w:tc>
      </w:tr>
      <w:tr w:rsidR="006D3F6D" w14:paraId="57A7A8E5" w14:textId="77777777" w:rsidTr="00803745">
        <w:tc>
          <w:tcPr>
            <w:tcW w:w="4508" w:type="dxa"/>
            <w:tcBorders>
              <w:top w:val="single" w:sz="4" w:space="0" w:color="auto"/>
              <w:left w:val="single" w:sz="4" w:space="0" w:color="auto"/>
              <w:bottom w:val="single" w:sz="4" w:space="0" w:color="auto"/>
              <w:right w:val="single" w:sz="4" w:space="0" w:color="auto"/>
            </w:tcBorders>
            <w:hideMark/>
          </w:tcPr>
          <w:p w14:paraId="42D71D53" w14:textId="77777777" w:rsidR="006D3F6D" w:rsidRDefault="006D3F6D" w:rsidP="0080374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Tenaga Kerja</w:t>
            </w:r>
          </w:p>
        </w:tc>
        <w:tc>
          <w:tcPr>
            <w:tcW w:w="4508" w:type="dxa"/>
            <w:tcBorders>
              <w:top w:val="single" w:sz="4" w:space="0" w:color="auto"/>
              <w:left w:val="single" w:sz="4" w:space="0" w:color="auto"/>
              <w:bottom w:val="single" w:sz="4" w:space="0" w:color="auto"/>
              <w:right w:val="single" w:sz="4" w:space="0" w:color="auto"/>
            </w:tcBorders>
            <w:hideMark/>
          </w:tcPr>
          <w:p w14:paraId="518CC3EE" w14:textId="77777777" w:rsidR="006D3F6D" w:rsidRDefault="006D3F6D" w:rsidP="0080374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Prinsip 3: Bisnis harus menjunjung tinggi kebebasan berserikat dan pengakuan efektif atas hak untuk melakukan perundingan bersama.</w:t>
            </w:r>
          </w:p>
          <w:p w14:paraId="204565F1" w14:textId="77777777" w:rsidR="006D3F6D" w:rsidRDefault="006D3F6D" w:rsidP="0080374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Prinsip 4: Penghapusan semua bentuk kerja paksa dan kerja wajib.</w:t>
            </w:r>
          </w:p>
          <w:p w14:paraId="21649848" w14:textId="77777777" w:rsidR="006D3F6D" w:rsidRDefault="006D3F6D" w:rsidP="0080374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Prinsip 5: Penghapusan pekerja hak secara efektif.</w:t>
            </w:r>
          </w:p>
          <w:p w14:paraId="2B32D1CE" w14:textId="77777777" w:rsidR="006D3F6D" w:rsidRDefault="006D3F6D" w:rsidP="0080374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Prinsip 6: Penghapusan diskriminasi dalam pekerjaan dan jabatan.</w:t>
            </w:r>
          </w:p>
        </w:tc>
      </w:tr>
      <w:tr w:rsidR="006D3F6D" w14:paraId="53017F03" w14:textId="77777777" w:rsidTr="00803745">
        <w:tc>
          <w:tcPr>
            <w:tcW w:w="4508" w:type="dxa"/>
            <w:tcBorders>
              <w:top w:val="single" w:sz="4" w:space="0" w:color="auto"/>
              <w:left w:val="single" w:sz="4" w:space="0" w:color="auto"/>
              <w:bottom w:val="single" w:sz="4" w:space="0" w:color="auto"/>
              <w:right w:val="single" w:sz="4" w:space="0" w:color="auto"/>
            </w:tcBorders>
            <w:hideMark/>
          </w:tcPr>
          <w:p w14:paraId="560749F5" w14:textId="77777777" w:rsidR="006D3F6D" w:rsidRDefault="006D3F6D" w:rsidP="0080374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Lingkungan Hidup</w:t>
            </w:r>
          </w:p>
        </w:tc>
        <w:tc>
          <w:tcPr>
            <w:tcW w:w="4508" w:type="dxa"/>
            <w:tcBorders>
              <w:top w:val="single" w:sz="4" w:space="0" w:color="auto"/>
              <w:left w:val="single" w:sz="4" w:space="0" w:color="auto"/>
              <w:bottom w:val="single" w:sz="4" w:space="0" w:color="auto"/>
              <w:right w:val="single" w:sz="4" w:space="0" w:color="auto"/>
            </w:tcBorders>
            <w:hideMark/>
          </w:tcPr>
          <w:p w14:paraId="70AD2400" w14:textId="77777777" w:rsidR="006D3F6D" w:rsidRDefault="006D3F6D" w:rsidP="0080374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Prinsip 7: Bisnis harus mendukung pendekatan kehati-hatian terhadap tantangan lingkungan.</w:t>
            </w:r>
          </w:p>
          <w:p w14:paraId="3D4B18B3" w14:textId="77777777" w:rsidR="006D3F6D" w:rsidRDefault="006D3F6D" w:rsidP="0080374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Prinsip 8: Melakukan inisiatif untuk mempromosikan tanggung jawab lingkungan yang lebih besar; dan</w:t>
            </w:r>
          </w:p>
          <w:p w14:paraId="04FF58E2" w14:textId="77777777" w:rsidR="006D3F6D" w:rsidRDefault="006D3F6D" w:rsidP="0080374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Prinsip 9: Mendorong pengembangan dan penyebaran teknologi ramah lingkungan.</w:t>
            </w:r>
          </w:p>
        </w:tc>
      </w:tr>
      <w:tr w:rsidR="006D3F6D" w14:paraId="2CA45EE7" w14:textId="77777777" w:rsidTr="00803745">
        <w:tc>
          <w:tcPr>
            <w:tcW w:w="4508" w:type="dxa"/>
            <w:tcBorders>
              <w:top w:val="single" w:sz="4" w:space="0" w:color="auto"/>
              <w:left w:val="single" w:sz="4" w:space="0" w:color="auto"/>
              <w:bottom w:val="single" w:sz="4" w:space="0" w:color="auto"/>
              <w:right w:val="single" w:sz="4" w:space="0" w:color="auto"/>
            </w:tcBorders>
            <w:hideMark/>
          </w:tcPr>
          <w:p w14:paraId="7B7276AB" w14:textId="77777777" w:rsidR="006D3F6D" w:rsidRDefault="006D3F6D" w:rsidP="0080374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Anti Korupsi</w:t>
            </w:r>
          </w:p>
        </w:tc>
        <w:tc>
          <w:tcPr>
            <w:tcW w:w="4508" w:type="dxa"/>
            <w:tcBorders>
              <w:top w:val="single" w:sz="4" w:space="0" w:color="auto"/>
              <w:left w:val="single" w:sz="4" w:space="0" w:color="auto"/>
              <w:bottom w:val="single" w:sz="4" w:space="0" w:color="auto"/>
              <w:right w:val="single" w:sz="4" w:space="0" w:color="auto"/>
            </w:tcBorders>
            <w:hideMark/>
          </w:tcPr>
          <w:p w14:paraId="713F837E" w14:textId="77777777" w:rsidR="006D3F6D" w:rsidRDefault="006D3F6D" w:rsidP="0080374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Prinsip 10: Bisnis harus melawan korupsi dalam segala bentuk, termasuk pemerasan dan penyuapan.</w:t>
            </w:r>
          </w:p>
        </w:tc>
      </w:tr>
    </w:tbl>
    <w:p w14:paraId="38D98D93" w14:textId="77777777" w:rsidR="006D3F6D" w:rsidRDefault="006D3F6D" w:rsidP="006D3F6D">
      <w:pPr>
        <w:spacing w:after="120" w:line="360" w:lineRule="auto"/>
        <w:jc w:val="both"/>
        <w:rPr>
          <w:rFonts w:ascii="Times New Roman" w:hAnsi="Times New Roman" w:cs="Times New Roman"/>
          <w:sz w:val="24"/>
          <w:szCs w:val="24"/>
        </w:rPr>
      </w:pPr>
    </w:p>
    <w:p w14:paraId="0D190916"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Dengan memasukkan Sepuluh Prinsip UN </w:t>
      </w:r>
      <w:r>
        <w:rPr>
          <w:rFonts w:ascii="Times New Roman" w:hAnsi="Times New Roman" w:cs="Times New Roman"/>
          <w:i/>
          <w:iCs/>
          <w:sz w:val="24"/>
          <w:szCs w:val="24"/>
        </w:rPr>
        <w:t>Global Compact</w:t>
      </w:r>
      <w:r>
        <w:rPr>
          <w:rFonts w:ascii="Times New Roman" w:hAnsi="Times New Roman" w:cs="Times New Roman"/>
          <w:sz w:val="24"/>
          <w:szCs w:val="24"/>
        </w:rPr>
        <w:t xml:space="preserve"> ke dalam strategi, kebijakan dan prosedur, dan membangun budaya integritas, perusahaan tidak hanya bertanggung jawab terhadap manusia dan juga lingkungan yang ada saat ini, namun juga untuk masa depan. </w:t>
      </w:r>
    </w:p>
    <w:p w14:paraId="147E4BD0" w14:textId="77777777" w:rsidR="006D3F6D" w:rsidRDefault="006D3F6D" w:rsidP="006D3F6D">
      <w:pPr>
        <w:spacing w:after="120" w:line="360" w:lineRule="auto"/>
        <w:jc w:val="both"/>
        <w:rPr>
          <w:rFonts w:ascii="Times New Roman" w:hAnsi="Times New Roman" w:cs="Times New Roman"/>
          <w:b/>
          <w:bCs/>
          <w:sz w:val="24"/>
          <w:szCs w:val="24"/>
        </w:rPr>
      </w:pPr>
    </w:p>
    <w:p w14:paraId="4C2F3497" w14:textId="77777777" w:rsidR="006D3F6D" w:rsidRDefault="006D3F6D" w:rsidP="006D3F6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CARBON DISCLOSURE PROJECT</w:t>
      </w:r>
    </w:p>
    <w:p w14:paraId="4A017061"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i/>
          <w:iCs/>
          <w:sz w:val="24"/>
          <w:szCs w:val="24"/>
        </w:rPr>
        <w:t>Carbon Disclosure Project</w:t>
      </w:r>
      <w:r>
        <w:rPr>
          <w:rFonts w:ascii="Times New Roman" w:hAnsi="Times New Roman" w:cs="Times New Roman"/>
          <w:sz w:val="24"/>
          <w:szCs w:val="24"/>
        </w:rPr>
        <w:t xml:space="preserve"> (CDP) adalah organisasi nirlaba internasional yang menyediakan satu-satunya sistem global bagi perusahaan dan kota untuk mengukur, mengungkapkan, mengelola, dan berbagi informasi lingkungan yang penting (seperti iklim emisi gas rumah kaca dan sebagainya). CDP memanfaatkan kekuatan pasar untuk mengumpulkan informasi dari perusahaan tentang emisi gas rumah kaca mereka dan penilaian perubahan iklim serta kondisi  risiko dan peluang air. Dengan kata lain, CDP memiliki koleksi data secara global terkait  perubahan iklim primer dan data air terbesar serta menempatkan informasi ini sebagai pusat bisnis strategis, investasi dan pengambilan keputusan dan kebijakan.</w:t>
      </w:r>
    </w:p>
    <w:p w14:paraId="344105D1"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Dewan Standar Pengungkapan Iklim (CDSB) dibentuk pada pertemuan tahunan Forum Ekonomi Dunia (</w:t>
      </w:r>
      <w:r>
        <w:rPr>
          <w:rFonts w:ascii="Times New Roman" w:hAnsi="Times New Roman" w:cs="Times New Roman"/>
          <w:i/>
          <w:iCs/>
          <w:sz w:val="24"/>
          <w:szCs w:val="24"/>
        </w:rPr>
        <w:t>World Economic Forum</w:t>
      </w:r>
      <w:r>
        <w:rPr>
          <w:rFonts w:ascii="Times New Roman" w:hAnsi="Times New Roman" w:cs="Times New Roman"/>
          <w:sz w:val="24"/>
          <w:szCs w:val="24"/>
        </w:rPr>
        <w:t xml:space="preserve">/WEF) 2007. CDSB adalah organisasi internasional yang berkomitmen untuk mengintegrasikan informasi terkait perubahan iklim ke dalam pelaporan </w:t>
      </w:r>
      <w:r>
        <w:rPr>
          <w:rFonts w:ascii="Times New Roman" w:hAnsi="Times New Roman" w:cs="Times New Roman"/>
          <w:sz w:val="24"/>
          <w:szCs w:val="24"/>
        </w:rPr>
        <w:lastRenderedPageBreak/>
        <w:t>perusahaan arus utama. CDSB bekerja dengan para profesional terkemuka di bidang akuntansi, bisnis, penetapan standar dan regulasi untuk mengembangkan dan mendukung kerangka kerja global yang diterima secara umum untuk digunakan oleh perusahaan dalam mengungkapkan informasi terkait perubahan iklim dalam pelaporan perusahaan arus utama.</w:t>
      </w:r>
    </w:p>
    <w:p w14:paraId="3D88EED4"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CDP berfokus pada 3 kategori data, yaitu: data kota, data perusahaan dan data untuk investor. Data kota CDP mencakup lebih dari 500 kota dan 100 wilayah yang dapat diakses secara bebas. Data ini diperolah dari kuesioner tahunan yang dikumpulkan secara mandiri oleh pemerintah dan berisikan informasi tentang emisi, tindakan iklim dan risiko iklim. Data kedua yakni data perusahaan , dapat diperoleh dengan adanya pembelian. CDP juga mengeluarkan nama-nama perusahaan yang memiliki kinerja lingkungan yang baik di tiga kategori yakni perubahan  iklim, air dan hutan yang disebut “</w:t>
      </w:r>
      <w:r>
        <w:rPr>
          <w:rFonts w:ascii="Times New Roman" w:hAnsi="Times New Roman" w:cs="Times New Roman"/>
          <w:i/>
          <w:iCs/>
          <w:sz w:val="24"/>
          <w:szCs w:val="24"/>
        </w:rPr>
        <w:t>The A List</w:t>
      </w:r>
      <w:r>
        <w:rPr>
          <w:rFonts w:ascii="Times New Roman" w:hAnsi="Times New Roman" w:cs="Times New Roman"/>
          <w:sz w:val="24"/>
          <w:szCs w:val="24"/>
        </w:rPr>
        <w:t xml:space="preserve">”. </w:t>
      </w:r>
    </w:p>
    <w:p w14:paraId="493F14EE" w14:textId="77777777" w:rsidR="006D3F6D" w:rsidRDefault="006D3F6D" w:rsidP="006D3F6D">
      <w:pPr>
        <w:spacing w:after="120" w:line="360" w:lineRule="auto"/>
        <w:jc w:val="both"/>
        <w:rPr>
          <w:rFonts w:ascii="Times New Roman" w:hAnsi="Times New Roman" w:cs="Times New Roman"/>
          <w:sz w:val="24"/>
          <w:szCs w:val="24"/>
        </w:rPr>
      </w:pPr>
    </w:p>
    <w:p w14:paraId="1412C71B" w14:textId="77777777" w:rsidR="006D3F6D" w:rsidRDefault="006D3F6D" w:rsidP="006D3F6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WORLD BUSINESS COUNCIL SUSTAINABLE DEVELOPTMENT</w:t>
      </w:r>
    </w:p>
    <w:p w14:paraId="2F6D05B7"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WBCSD adalah organisasi global yang dipimpin oleh CEO dengan lebih dari 200 bisnis terkemuka yang bekerja bersama untuk mempercepat transisi ke dunia yang berkelanjutan. WBCSD membantu membuat perusahaan yang tergabung sebagai anggota organisasi untuk lebih sukses dan berkelanjutan dengan berfokus pada dampak positif maksimum bagi pemegang saham, lingkungan, dan masyarakat. Perusahaan anggota WBCSD berasal dari semua sektor bisnis dan semua ekonomi utama, dengan pendapatan gabungan lebih dari USD $ 8,5 triliun dan 19 juta karyawan serta memiliki jaringan global yang terdiri dari hampir 70 dewan bisnis nasional.</w:t>
      </w:r>
    </w:p>
    <w:p w14:paraId="04810C16"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Kerangka WBCSD membantu perusahaan untuk dapat mengukur dampak pada setiap tahap dalam siklus hidup suatu operasi. Dengan demikian, perusahaan yang menggunakan kerangka WBCSD akan memiliki pendekatan yang mengukur empat bidang kegiatan perusahaan yaitu: tata kelola dan keberlanjutan, aset, manusia dan aliran keuangan. </w:t>
      </w:r>
    </w:p>
    <w:p w14:paraId="65B949DC"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WBCSD mengeluarkan dua protokol yakni </w:t>
      </w:r>
      <w:r>
        <w:rPr>
          <w:rFonts w:ascii="Times New Roman" w:hAnsi="Times New Roman" w:cs="Times New Roman"/>
          <w:i/>
          <w:iCs/>
          <w:sz w:val="24"/>
          <w:szCs w:val="24"/>
        </w:rPr>
        <w:t>Natural Capital Protocol</w:t>
      </w:r>
      <w:r>
        <w:rPr>
          <w:rFonts w:ascii="Times New Roman" w:hAnsi="Times New Roman" w:cs="Times New Roman"/>
          <w:sz w:val="24"/>
          <w:szCs w:val="24"/>
        </w:rPr>
        <w:t xml:space="preserve"> dan </w:t>
      </w:r>
      <w:r>
        <w:rPr>
          <w:rFonts w:ascii="Times New Roman" w:hAnsi="Times New Roman" w:cs="Times New Roman"/>
          <w:i/>
          <w:iCs/>
          <w:sz w:val="24"/>
          <w:szCs w:val="24"/>
        </w:rPr>
        <w:t>Social Capital Protocol</w:t>
      </w:r>
      <w:r>
        <w:rPr>
          <w:rFonts w:ascii="Times New Roman" w:hAnsi="Times New Roman" w:cs="Times New Roman"/>
          <w:sz w:val="24"/>
          <w:szCs w:val="24"/>
        </w:rPr>
        <w:t xml:space="preserve">. Kedua protokol ini merupakan kerangka kerja bisnis untuk mengukur dan menilai dampak non-keuangan dan dependensi dampak tersebut dalam hal mengelola risiko dan memanfaatkan peluang yang mungkin tidak terlihat jika menggunakan proses bisnis tradisional.   </w:t>
      </w:r>
    </w:p>
    <w:p w14:paraId="10535AA9"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b/>
          <w:bCs/>
          <w:i/>
          <w:iCs/>
          <w:sz w:val="24"/>
          <w:szCs w:val="24"/>
        </w:rPr>
        <w:lastRenderedPageBreak/>
        <w:t>Natural Capital Protocol</w:t>
      </w:r>
      <w:r>
        <w:rPr>
          <w:rFonts w:ascii="Times New Roman" w:hAnsi="Times New Roman" w:cs="Times New Roman"/>
          <w:sz w:val="24"/>
          <w:szCs w:val="24"/>
        </w:rPr>
        <w:t xml:space="preserve"> adalah kerangka kerja yang membantu pelaku bisnis mengambil keputusan dengan cara mengkonsolidasikan kekayaan alat, metodologi dan pendekatan yang tersedia untuk mengukur dan menilai modal alam; dan memetakannya terhadap protokol kerangka kerja standar internasional. Adapun tujuan dari </w:t>
      </w:r>
      <w:r>
        <w:rPr>
          <w:rFonts w:ascii="Times New Roman" w:hAnsi="Times New Roman" w:cs="Times New Roman"/>
          <w:i/>
          <w:iCs/>
          <w:sz w:val="24"/>
          <w:szCs w:val="24"/>
        </w:rPr>
        <w:t>natural capital protocol</w:t>
      </w:r>
      <w:r>
        <w:rPr>
          <w:rFonts w:ascii="Times New Roman" w:hAnsi="Times New Roman" w:cs="Times New Roman"/>
          <w:sz w:val="24"/>
          <w:szCs w:val="24"/>
        </w:rPr>
        <w:t xml:space="preserve"> ini adalah:</w:t>
      </w:r>
    </w:p>
    <w:p w14:paraId="68C9C1C9" w14:textId="77777777" w:rsidR="006D3F6D" w:rsidRDefault="006D3F6D" w:rsidP="006D3F6D">
      <w:pPr>
        <w:pStyle w:val="ListParagraph"/>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Memperkuat dan menyederhanakan komunikasi.</w:t>
      </w:r>
    </w:p>
    <w:p w14:paraId="1F1C254C" w14:textId="77777777" w:rsidR="006D3F6D" w:rsidRDefault="006D3F6D" w:rsidP="006D3F6D">
      <w:pPr>
        <w:pStyle w:val="ListParagraph"/>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Mengutamakan pendekatan bisnis untuk mengukur dan menilai modal alam.</w:t>
      </w:r>
    </w:p>
    <w:p w14:paraId="15CF8FF5" w14:textId="77777777" w:rsidR="006D3F6D" w:rsidRDefault="006D3F6D" w:rsidP="006D3F6D">
      <w:pPr>
        <w:pStyle w:val="ListParagraph"/>
        <w:numPr>
          <w:ilvl w:val="0"/>
          <w:numId w:val="7"/>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Menyelaraskan pengukuran dan penilaian modal alam melalui </w:t>
      </w:r>
      <w:r>
        <w:rPr>
          <w:rFonts w:ascii="Times New Roman" w:hAnsi="Times New Roman" w:cs="Times New Roman"/>
          <w:i/>
          <w:iCs/>
          <w:sz w:val="24"/>
          <w:szCs w:val="24"/>
        </w:rPr>
        <w:t>Natural Capital Protocol</w:t>
      </w:r>
      <w:r>
        <w:rPr>
          <w:rFonts w:ascii="Times New Roman" w:hAnsi="Times New Roman" w:cs="Times New Roman"/>
          <w:sz w:val="24"/>
          <w:szCs w:val="24"/>
        </w:rPr>
        <w:t xml:space="preserve"> dan </w:t>
      </w:r>
      <w:r>
        <w:rPr>
          <w:rFonts w:ascii="Times New Roman" w:hAnsi="Times New Roman" w:cs="Times New Roman"/>
          <w:i/>
          <w:iCs/>
          <w:sz w:val="24"/>
          <w:szCs w:val="24"/>
        </w:rPr>
        <w:t>Toolkit</w:t>
      </w:r>
      <w:r>
        <w:rPr>
          <w:rFonts w:ascii="Times New Roman" w:hAnsi="Times New Roman" w:cs="Times New Roman"/>
          <w:sz w:val="24"/>
          <w:szCs w:val="24"/>
        </w:rPr>
        <w:t>.</w:t>
      </w:r>
    </w:p>
    <w:p w14:paraId="56D25815"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Dalam penilaian modal alam, terdapat empat prinsip yang harus diikuti, yaitu:</w:t>
      </w:r>
    </w:p>
    <w:p w14:paraId="5E8A12AA" w14:textId="77777777" w:rsidR="006D3F6D" w:rsidRDefault="006D3F6D" w:rsidP="006D3F6D">
      <w:pPr>
        <w:pStyle w:val="ListParagraph"/>
        <w:numPr>
          <w:ilvl w:val="0"/>
          <w:numId w:val="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Relevansi: penilaian mempertimbangkan masalah yang terkait dengan modal alam, termasuk tingkat ketergantungan bisnis terhadap modal alam. </w:t>
      </w:r>
    </w:p>
    <w:p w14:paraId="71FAF951" w14:textId="77777777" w:rsidR="006D3F6D" w:rsidRDefault="006D3F6D" w:rsidP="006D3F6D">
      <w:pPr>
        <w:pStyle w:val="ListParagraph"/>
        <w:numPr>
          <w:ilvl w:val="0"/>
          <w:numId w:val="8"/>
        </w:numPr>
        <w:spacing w:after="120" w:line="360" w:lineRule="auto"/>
        <w:jc w:val="both"/>
        <w:rPr>
          <w:rFonts w:ascii="Times New Roman" w:hAnsi="Times New Roman" w:cs="Times New Roman"/>
          <w:sz w:val="24"/>
          <w:szCs w:val="24"/>
        </w:rPr>
      </w:pPr>
      <w:r>
        <w:rPr>
          <w:rFonts w:ascii="Times New Roman" w:hAnsi="Times New Roman" w:cs="Times New Roman"/>
          <w:i/>
          <w:iCs/>
          <w:sz w:val="24"/>
          <w:szCs w:val="24"/>
        </w:rPr>
        <w:t>Rigor</w:t>
      </w:r>
      <w:r>
        <w:rPr>
          <w:rFonts w:ascii="Times New Roman" w:hAnsi="Times New Roman" w:cs="Times New Roman"/>
          <w:sz w:val="24"/>
          <w:szCs w:val="24"/>
        </w:rPr>
        <w:t xml:space="preserve">: menggunakan informasi yang valid dan data serta metode yang digunakan sesuai dengan tujuan. </w:t>
      </w:r>
    </w:p>
    <w:p w14:paraId="443B9867" w14:textId="77777777" w:rsidR="006D3F6D" w:rsidRDefault="006D3F6D" w:rsidP="006D3F6D">
      <w:pPr>
        <w:pStyle w:val="ListParagraph"/>
        <w:numPr>
          <w:ilvl w:val="0"/>
          <w:numId w:val="8"/>
        </w:numPr>
        <w:spacing w:after="120" w:line="360" w:lineRule="auto"/>
        <w:jc w:val="both"/>
        <w:rPr>
          <w:rFonts w:ascii="Times New Roman" w:hAnsi="Times New Roman" w:cs="Times New Roman"/>
          <w:sz w:val="24"/>
          <w:szCs w:val="24"/>
        </w:rPr>
      </w:pPr>
      <w:r>
        <w:rPr>
          <w:rFonts w:ascii="Times New Roman" w:hAnsi="Times New Roman" w:cs="Times New Roman"/>
          <w:i/>
          <w:iCs/>
          <w:sz w:val="24"/>
          <w:szCs w:val="24"/>
        </w:rPr>
        <w:t>Replicability</w:t>
      </w:r>
      <w:r>
        <w:rPr>
          <w:rFonts w:ascii="Times New Roman" w:hAnsi="Times New Roman" w:cs="Times New Roman"/>
          <w:sz w:val="24"/>
          <w:szCs w:val="24"/>
        </w:rPr>
        <w:t>: memastikan semua asumsi, data, peringatan dan metode yang digunakan transparan, dapat dilacak, didokumentasikan sepenuhnya, dan dapat diulang. Hal ini bertujuan bahwa data dapat diaudit dan diverifikasi.</w:t>
      </w:r>
    </w:p>
    <w:p w14:paraId="3D528A8C" w14:textId="77777777" w:rsidR="006D3F6D" w:rsidRDefault="006D3F6D" w:rsidP="006D3F6D">
      <w:pPr>
        <w:pStyle w:val="ListParagraph"/>
        <w:numPr>
          <w:ilvl w:val="0"/>
          <w:numId w:val="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Konsistensi: data dan metode yang digunakan kompatibel dengan ruang lingkup analisis  sehingga sesuai dengan tujuan yang diharapkan. </w:t>
      </w:r>
    </w:p>
    <w:p w14:paraId="229A029D"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i/>
          <w:iCs/>
          <w:sz w:val="24"/>
          <w:szCs w:val="24"/>
        </w:rPr>
        <w:t>Social Capital Protocol</w:t>
      </w:r>
      <w:r>
        <w:rPr>
          <w:rFonts w:ascii="Times New Roman" w:hAnsi="Times New Roman" w:cs="Times New Roman"/>
          <w:sz w:val="24"/>
          <w:szCs w:val="24"/>
        </w:rPr>
        <w:t>: bertujuan untuk mengklarifikasi praktik terbaik, meningkatkan dampak positif bisnis, dan meningkatkan kredibilitas bisnis dengan mengintegrasikan pertimbangan dampak dan ketergantungan sosial ke dalam manajemen kinerja dan pengambilan keputusan.</w:t>
      </w:r>
    </w:p>
    <w:p w14:paraId="09630E24" w14:textId="77777777" w:rsidR="006D3F6D" w:rsidRDefault="006D3F6D" w:rsidP="006D3F6D">
      <w:pPr>
        <w:spacing w:after="120" w:line="360" w:lineRule="auto"/>
        <w:jc w:val="both"/>
        <w:rPr>
          <w:rFonts w:ascii="Times New Roman" w:hAnsi="Times New Roman" w:cs="Times New Roman"/>
          <w:sz w:val="24"/>
          <w:szCs w:val="24"/>
        </w:rPr>
      </w:pPr>
    </w:p>
    <w:p w14:paraId="38222B08" w14:textId="77777777" w:rsidR="006D3F6D" w:rsidRDefault="006D3F6D" w:rsidP="006D3F6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GREENHOUSE GUEST PROTOCOL</w:t>
      </w:r>
    </w:p>
    <w:p w14:paraId="11D9B557"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Protokol GHG atau gas rumah kaca menetapkan kerangka kerja standar global yang komprehensif untuk mengukur dan mengelola emisi gas rumah kaca (GRK) dari operasi sektor swasta dan publik, rantai nilai, dan tindakan mitigasi. GHG telah membangun kemitraan selama 20 tahun bersama dengan </w:t>
      </w:r>
      <w:r>
        <w:rPr>
          <w:rFonts w:ascii="Times New Roman" w:hAnsi="Times New Roman" w:cs="Times New Roman"/>
          <w:i/>
          <w:iCs/>
          <w:sz w:val="24"/>
          <w:szCs w:val="24"/>
        </w:rPr>
        <w:t>World Resources Institute</w:t>
      </w:r>
      <w:r>
        <w:rPr>
          <w:rFonts w:ascii="Times New Roman" w:hAnsi="Times New Roman" w:cs="Times New Roman"/>
          <w:sz w:val="24"/>
          <w:szCs w:val="24"/>
        </w:rPr>
        <w:t xml:space="preserve"> (WRI) dan Dewan Bisnis Dunia untuk Pembangunan Berkelanjutan (WBCSD), Protokol GRK bekerja dengan pemerintah, asosiasi industri, LSM, bisnis, dan organisasi lain.</w:t>
      </w:r>
    </w:p>
    <w:p w14:paraId="680E7F81"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Standar-standar protokol GRK dirancang untuk memberikan kerangka kerja bagi bisnis, pemerintah, dan entitas lain untuk mengukur dan melaporkan emisi gas rumah kaca dengan cara yang dapat mendukung misi dan tujuan mereka. Standar-standar ini paling banyak digunakan di dunia untuk mengukur dan melaporkan emisi gas rumah kaca. Popularitas standar protokol GRK juga disebabkan oleh jangkauan dan konsultasi pemangku kepentingan yang luas serta difasilitasi oleh WRI dan WBCSD selama setiap proyek pengembangan standar.</w:t>
      </w:r>
    </w:p>
    <w:p w14:paraId="0F3E5AD9" w14:textId="77777777" w:rsidR="006D3F6D" w:rsidRDefault="006D3F6D" w:rsidP="006D3F6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Terdapat 7 standar yang dikeluarkan oleh GHG, yaitu:</w:t>
      </w:r>
    </w:p>
    <w:p w14:paraId="662FE848" w14:textId="77777777" w:rsidR="006D3F6D" w:rsidRDefault="006D3F6D" w:rsidP="006D3F6D">
      <w:pPr>
        <w:pStyle w:val="ListParagraph"/>
        <w:numPr>
          <w:ilvl w:val="0"/>
          <w:numId w:val="9"/>
        </w:numPr>
        <w:spacing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Corporate Standard</w:t>
      </w:r>
    </w:p>
    <w:p w14:paraId="56EF0DDD" w14:textId="77777777" w:rsidR="006D3F6D" w:rsidRDefault="006D3F6D" w:rsidP="006D3F6D">
      <w:pPr>
        <w:pStyle w:val="ListParagraph"/>
        <w:numPr>
          <w:ilvl w:val="0"/>
          <w:numId w:val="9"/>
        </w:numPr>
        <w:spacing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Project Protocol</w:t>
      </w:r>
    </w:p>
    <w:p w14:paraId="2BF3ACDB" w14:textId="77777777" w:rsidR="006D3F6D" w:rsidRDefault="006D3F6D" w:rsidP="006D3F6D">
      <w:pPr>
        <w:pStyle w:val="ListParagraph"/>
        <w:numPr>
          <w:ilvl w:val="0"/>
          <w:numId w:val="9"/>
        </w:numPr>
        <w:spacing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The Corporate Value Chain </w:t>
      </w:r>
    </w:p>
    <w:p w14:paraId="3E3B11AB" w14:textId="77777777" w:rsidR="006D3F6D" w:rsidRDefault="006D3F6D" w:rsidP="006D3F6D">
      <w:pPr>
        <w:pStyle w:val="ListParagraph"/>
        <w:numPr>
          <w:ilvl w:val="0"/>
          <w:numId w:val="9"/>
        </w:numPr>
        <w:spacing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GHG Protocol for Cities</w:t>
      </w:r>
    </w:p>
    <w:p w14:paraId="7B21AB3A" w14:textId="77777777" w:rsidR="006D3F6D" w:rsidRDefault="006D3F6D" w:rsidP="006D3F6D">
      <w:pPr>
        <w:pStyle w:val="ListParagraph"/>
        <w:numPr>
          <w:ilvl w:val="0"/>
          <w:numId w:val="9"/>
        </w:numPr>
        <w:spacing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Mitigation Goal Standard</w:t>
      </w:r>
    </w:p>
    <w:p w14:paraId="55B2D5AB" w14:textId="77777777" w:rsidR="006D3F6D" w:rsidRDefault="006D3F6D" w:rsidP="006D3F6D">
      <w:pPr>
        <w:pStyle w:val="ListParagraph"/>
        <w:numPr>
          <w:ilvl w:val="0"/>
          <w:numId w:val="9"/>
        </w:numPr>
        <w:spacing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Product Standard</w:t>
      </w:r>
    </w:p>
    <w:p w14:paraId="48BBD5DD" w14:textId="77777777" w:rsidR="006D3F6D" w:rsidRDefault="006D3F6D" w:rsidP="006D3F6D">
      <w:pPr>
        <w:pStyle w:val="ListParagraph"/>
        <w:numPr>
          <w:ilvl w:val="0"/>
          <w:numId w:val="9"/>
        </w:numPr>
        <w:spacing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Policy and Action Standard</w:t>
      </w:r>
    </w:p>
    <w:p w14:paraId="690869D5" w14:textId="77777777" w:rsidR="006D3F6D" w:rsidRDefault="006D3F6D" w:rsidP="006D3F6D">
      <w:pPr>
        <w:pStyle w:val="ListParagraph"/>
        <w:spacing w:after="120" w:line="360" w:lineRule="auto"/>
        <w:jc w:val="both"/>
        <w:rPr>
          <w:rFonts w:ascii="Times New Roman" w:hAnsi="Times New Roman" w:cs="Times New Roman"/>
          <w:sz w:val="24"/>
          <w:szCs w:val="24"/>
        </w:rPr>
      </w:pPr>
    </w:p>
    <w:p w14:paraId="02D0F576" w14:textId="77777777" w:rsidR="006D3F6D" w:rsidRDefault="006D3F6D" w:rsidP="006D3F6D">
      <w:pPr>
        <w:spacing w:after="120" w:line="360" w:lineRule="auto"/>
        <w:ind w:left="360"/>
        <w:jc w:val="both"/>
        <w:rPr>
          <w:rFonts w:ascii="Times New Roman" w:hAnsi="Times New Roman" w:cs="Times New Roman"/>
          <w:b/>
          <w:bCs/>
          <w:i/>
          <w:iCs/>
          <w:sz w:val="24"/>
          <w:szCs w:val="24"/>
        </w:rPr>
      </w:pPr>
      <w:r>
        <w:rPr>
          <w:rFonts w:ascii="Times New Roman" w:hAnsi="Times New Roman" w:cs="Times New Roman"/>
          <w:b/>
          <w:bCs/>
          <w:i/>
          <w:iCs/>
          <w:sz w:val="24"/>
          <w:szCs w:val="24"/>
        </w:rPr>
        <w:t>Corporate Standard</w:t>
      </w:r>
    </w:p>
    <w:p w14:paraId="2565649E"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Standar Akuntansi dan Pelaporan Korporat Protokol GRK memberikan persyaratan dan panduan bagi perusahaan dan organisasi lain yang mempersiapkan inventarisasi emisi GRK tingkat perusahaan. Standar tersebut mencakup penghitungan dan pelaporan tujuh gas rumah kaca yang tercakup dalam Protokol Kyoto - karbon dioksida (CO2), metana (CH4), </w:t>
      </w:r>
      <w:r>
        <w:rPr>
          <w:rFonts w:ascii="Times New Roman" w:hAnsi="Times New Roman" w:cs="Times New Roman"/>
          <w:i/>
          <w:iCs/>
          <w:sz w:val="24"/>
          <w:szCs w:val="24"/>
        </w:rPr>
        <w:t>nitrous oxide</w:t>
      </w:r>
      <w:r>
        <w:rPr>
          <w:rFonts w:ascii="Times New Roman" w:hAnsi="Times New Roman" w:cs="Times New Roman"/>
          <w:sz w:val="24"/>
          <w:szCs w:val="24"/>
        </w:rPr>
        <w:t xml:space="preserve"> (N2O), </w:t>
      </w:r>
      <w:r>
        <w:rPr>
          <w:rFonts w:ascii="Times New Roman" w:hAnsi="Times New Roman" w:cs="Times New Roman"/>
          <w:i/>
          <w:iCs/>
          <w:sz w:val="24"/>
          <w:szCs w:val="24"/>
        </w:rPr>
        <w:t>hydrofluorocarbons</w:t>
      </w:r>
      <w:r>
        <w:rPr>
          <w:rFonts w:ascii="Times New Roman" w:hAnsi="Times New Roman" w:cs="Times New Roman"/>
          <w:sz w:val="24"/>
          <w:szCs w:val="24"/>
        </w:rPr>
        <w:t xml:space="preserve"> (HFCs), </w:t>
      </w:r>
      <w:r>
        <w:rPr>
          <w:rFonts w:ascii="Times New Roman" w:hAnsi="Times New Roman" w:cs="Times New Roman"/>
          <w:i/>
          <w:iCs/>
          <w:sz w:val="24"/>
          <w:szCs w:val="24"/>
        </w:rPr>
        <w:t>perfluorocarbons</w:t>
      </w:r>
      <w:r>
        <w:rPr>
          <w:rFonts w:ascii="Times New Roman" w:hAnsi="Times New Roman" w:cs="Times New Roman"/>
          <w:sz w:val="24"/>
          <w:szCs w:val="24"/>
        </w:rPr>
        <w:t xml:space="preserve"> (PCFs), sulfur </w:t>
      </w:r>
      <w:r>
        <w:rPr>
          <w:rFonts w:ascii="Times New Roman" w:hAnsi="Times New Roman" w:cs="Times New Roman"/>
          <w:i/>
          <w:iCs/>
          <w:sz w:val="24"/>
          <w:szCs w:val="24"/>
        </w:rPr>
        <w:t>hexafluoride</w:t>
      </w:r>
      <w:r>
        <w:rPr>
          <w:rFonts w:ascii="Times New Roman" w:hAnsi="Times New Roman" w:cs="Times New Roman"/>
          <w:sz w:val="24"/>
          <w:szCs w:val="24"/>
        </w:rPr>
        <w:t xml:space="preserve"> (SF6) dan nitrogen </w:t>
      </w:r>
      <w:r>
        <w:rPr>
          <w:rFonts w:ascii="Times New Roman" w:hAnsi="Times New Roman" w:cs="Times New Roman"/>
          <w:i/>
          <w:iCs/>
          <w:sz w:val="24"/>
          <w:szCs w:val="24"/>
        </w:rPr>
        <w:t>trifluorida</w:t>
      </w:r>
      <w:r>
        <w:rPr>
          <w:rFonts w:ascii="Times New Roman" w:hAnsi="Times New Roman" w:cs="Times New Roman"/>
          <w:sz w:val="24"/>
          <w:szCs w:val="24"/>
        </w:rPr>
        <w:t xml:space="preserve"> (NF3). Standar ini diperbarui pada tahun 2015  yang memungkinkan perusahaan mengukur dan melaporkan emisi secara kredibel dari listrik, uap, panas, dan pendinginan yang dibeli atau diperoleh.</w:t>
      </w:r>
    </w:p>
    <w:p w14:paraId="3DD1D672"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Standar Akuntansi dan Pelaporan Perusahaan Protokol GRK memberikan persyaratan dan panduan bagi perusahaan dan organisasi lain yang mempersiapkan inventarisasi emisi GRK. Standar ini dirancang dengan tujuan sebagai berikut:</w:t>
      </w:r>
    </w:p>
    <w:p w14:paraId="361CA41D" w14:textId="77777777" w:rsidR="006D3F6D" w:rsidRDefault="006D3F6D" w:rsidP="006D3F6D">
      <w:pPr>
        <w:pStyle w:val="ListParagraph"/>
        <w:numPr>
          <w:ilvl w:val="0"/>
          <w:numId w:val="1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Untuk membantu perusahaan menyiapkan inventarisasi GRK yang mewakili perhitungan emisi yang benar dan adil melalui penggunaan pendekatan dan prinsip standar.</w:t>
      </w:r>
    </w:p>
    <w:p w14:paraId="03D0B811" w14:textId="77777777" w:rsidR="006D3F6D" w:rsidRDefault="006D3F6D" w:rsidP="006D3F6D">
      <w:pPr>
        <w:pStyle w:val="ListParagraph"/>
        <w:numPr>
          <w:ilvl w:val="0"/>
          <w:numId w:val="1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Untuk menyederhanakan dan mengurangi biaya penyusunan inventarisasi GRK.</w:t>
      </w:r>
    </w:p>
    <w:p w14:paraId="79321B3F" w14:textId="77777777" w:rsidR="006D3F6D" w:rsidRDefault="006D3F6D" w:rsidP="006D3F6D">
      <w:pPr>
        <w:pStyle w:val="ListParagraph"/>
        <w:numPr>
          <w:ilvl w:val="0"/>
          <w:numId w:val="1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Untuk menyediakan bisnis dengan informasi yang dapat digunakan untuk membangun strategi yang efektif untuk mengelola dan mengurangi emisi GRK.</w:t>
      </w:r>
    </w:p>
    <w:p w14:paraId="124C2D23" w14:textId="77777777" w:rsidR="006D3F6D" w:rsidRDefault="006D3F6D" w:rsidP="006D3F6D">
      <w:pPr>
        <w:pStyle w:val="ListParagraph"/>
        <w:numPr>
          <w:ilvl w:val="0"/>
          <w:numId w:val="1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Meningkatkan konsistensi dan transparansi dalam penghitungan dan pelaporan GRK di antara berbagai perusahaan dan program GRK.</w:t>
      </w:r>
    </w:p>
    <w:p w14:paraId="0F6C44E6"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Modul ini dibangun berdasarkan pengalaman dan pengetahuan lebih dari 350 ahli terkemuka yang diambil dari bisnis, LSM, pemerintah, dan asosiasi akuntansi. Ini telah diuji jalan oleh lebih dari 30 perusahaan di sembilan negara.</w:t>
      </w:r>
    </w:p>
    <w:p w14:paraId="479BF356" w14:textId="77777777" w:rsidR="006D3F6D" w:rsidRDefault="006D3F6D" w:rsidP="006D3F6D">
      <w:pPr>
        <w:spacing w:after="120" w:line="360" w:lineRule="auto"/>
        <w:ind w:left="360"/>
        <w:jc w:val="both"/>
        <w:rPr>
          <w:rFonts w:ascii="Times New Roman" w:hAnsi="Times New Roman" w:cs="Times New Roman"/>
          <w:b/>
          <w:bCs/>
          <w:i/>
          <w:iCs/>
          <w:sz w:val="24"/>
          <w:szCs w:val="24"/>
        </w:rPr>
      </w:pPr>
      <w:r>
        <w:rPr>
          <w:rFonts w:ascii="Times New Roman" w:hAnsi="Times New Roman" w:cs="Times New Roman"/>
          <w:b/>
          <w:bCs/>
          <w:i/>
          <w:iCs/>
          <w:sz w:val="24"/>
          <w:szCs w:val="24"/>
        </w:rPr>
        <w:t>Project Protocol</w:t>
      </w:r>
    </w:p>
    <w:p w14:paraId="44D30488"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Protokol GRK untuk Penghitungan Proyek adalah alat penghitungan netral kebijakan yang paling komprehensif untuk mengukur manfaat gas rumah kaca dari proyek mitigasi perubahan iklim. Protokol Proyek ini memberikan prinsip, konsep, dan metode khusus untuk mengukur dan melaporkan pengurangan GRK yaitu, penurunan emisi GRK, atau peningkatan serapan dan/atau penyimpanan dari proyek mitigasi perubahan iklim (proyek GRK).</w:t>
      </w:r>
    </w:p>
    <w:p w14:paraId="6E61AA86"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Protokol GRK untuk Penghitungan Proyek (Protokol Proyek) adalah hasil dari diskusi serta melalui proses konsultasi dengan para ahli bisnis, lingkungan, dan pemerintah yang dipimpin oleh WRI dan WBCSD yang diakukan selama empat tahun. Protokol Proyek memberikan landasan bagi upaya yang dipimpin oleh WRI dan lainnya untuk mengembangkan standar yang kompatibel secara global untuk pasar gas rumah kaca.</w:t>
      </w:r>
    </w:p>
    <w:p w14:paraId="33D7BDB5" w14:textId="77777777" w:rsidR="006D3F6D" w:rsidRDefault="006D3F6D" w:rsidP="006D3F6D">
      <w:pPr>
        <w:spacing w:after="120" w:line="360" w:lineRule="auto"/>
        <w:ind w:left="36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The Corporate Value Chain </w:t>
      </w:r>
    </w:p>
    <w:p w14:paraId="7695994C"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Standar Akuntansi dan Pelaporan Rantai Nilai Perusahaan (Cakupan 3) memungkinkan perusahaan menilai seluruh dampak emisi rantai nilai perusahaan serta mengidentifikasi serta berfokus pada kegiatan pengurangan emisi gas rumah kaca. </w:t>
      </w:r>
    </w:p>
    <w:p w14:paraId="642702ED"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Standar Rantai Nilai Perusahaan (Cakupan 3) telah dibuat melalui proses dari berbagai pemangku kepentingan yang luas, inklusif. Selama periode tiga tahun:</w:t>
      </w:r>
    </w:p>
    <w:p w14:paraId="47A823ED" w14:textId="77777777" w:rsidR="006D3F6D" w:rsidRDefault="006D3F6D" w:rsidP="006D3F6D">
      <w:pPr>
        <w:pStyle w:val="ListParagraph"/>
        <w:numPr>
          <w:ilvl w:val="0"/>
          <w:numId w:val="1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2.300 peserta terlibat dari 55 negara;</w:t>
      </w:r>
    </w:p>
    <w:p w14:paraId="18770F2C" w14:textId="77777777" w:rsidR="006D3F6D" w:rsidRDefault="006D3F6D" w:rsidP="006D3F6D">
      <w:pPr>
        <w:pStyle w:val="ListParagraph"/>
        <w:numPr>
          <w:ilvl w:val="0"/>
          <w:numId w:val="1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96 anggota berpartisipasi dalam kelompok kerja teknis untuk menyusun standar, dan;</w:t>
      </w:r>
    </w:p>
    <w:p w14:paraId="2A8DB6D2" w14:textId="77777777" w:rsidR="006D3F6D" w:rsidRDefault="006D3F6D" w:rsidP="006D3F6D">
      <w:pPr>
        <w:pStyle w:val="ListParagraph"/>
        <w:numPr>
          <w:ilvl w:val="0"/>
          <w:numId w:val="1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34 perusahaan dari berbagai industri jalan menguji standar pada tahun 2010.</w:t>
      </w:r>
    </w:p>
    <w:p w14:paraId="19AB53BC"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Standar Cakupan 3 ini menyediakan metodologi yang dapat digunakan untuk menghitung dan melaporkan emisi dari perusahaan di semua sektor, secara global. Ini disertai dengan seperangkat panduan dan alat yang mudah digunakan yang dikembangkan oleh Protokol GRK untuk membuat penghitungan Cakupan 3 lebih mudah dan dapat diakses.</w:t>
      </w:r>
    </w:p>
    <w:p w14:paraId="5CB804AC"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Standar Cakupan 3 yang dirilis pada tahun 2011 adalah satu-satunya metode yang diterima secara internasional bagi perusahaan untuk memperhitungkan jenis emisi rantai nilai ini. Pengguna standar dapat menghitung emisi dari 15 kategori aktivitas Cakupan 3, baik di hulu dan hilir dari operasi mereka. Kerangka Cakupan 3 juga mendukung strategi untuk bermitra dengan pemasok dan pelanggan untuk mengatasi dampak iklim di seluruh rantai nilai..</w:t>
      </w:r>
    </w:p>
    <w:p w14:paraId="1A982F3A" w14:textId="77777777" w:rsidR="006D3F6D" w:rsidRDefault="006D3F6D" w:rsidP="006D3F6D">
      <w:pPr>
        <w:spacing w:after="12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GHG Protocol for Cities</w:t>
      </w:r>
    </w:p>
    <w:p w14:paraId="5B587765"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Bertanggung jawab atas lebih dari 70 persen emisi karbon dioksida terkait energi global dengan perkotaan sebagai satu-satunya peluang terbesar untuk mengatasi perubahan iklim. Hal ini dilakukan dengan cara mengidentifikasi dan mengukur sumber emisi dari perkotaan.</w:t>
      </w:r>
    </w:p>
    <w:p w14:paraId="6BE947CA"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Protokol GRK bekerja untuk memberikan kota standar dan alat yang dibutuhkan untuk mengukur gas emisi perkotaan, membangun strategi pengurangan emisi yang lebih efektif, menetapkan tujuan pengurangan emisi yang terukur dan lebih ambisius, dan untuk melacak tingkat kemajuan pengurangan ini secara lebih akurat dan komprehensif.</w:t>
      </w:r>
    </w:p>
    <w:p w14:paraId="6F73F203"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Institut Sumber Daya Dunia, Kelompok Kepemimpinan Iklim Kota C40, dan ICLEI - Pemerintah Lokal untuk Keberlanjutan (ICLEI) telah bekerja sama membuat standar Protokol GRK untuk perkotaan yang dikenal sebagai Protokol Global untuk Inventarisasi Emisi Gas Rumah Kaca Skala Komunitas (GPC).</w:t>
      </w:r>
    </w:p>
    <w:p w14:paraId="4E185101"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GPC menyediakan kerangka kerja yang kuat untuk menghitung dan melaporkan emisi gas rumah kaca di seluruh kota. GPC berusaha untuk:</w:t>
      </w:r>
    </w:p>
    <w:p w14:paraId="15E86D35" w14:textId="77777777" w:rsidR="006D3F6D" w:rsidRDefault="006D3F6D" w:rsidP="006D3F6D">
      <w:pPr>
        <w:pStyle w:val="ListParagraph"/>
        <w:numPr>
          <w:ilvl w:val="0"/>
          <w:numId w:val="1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Membantu perkotaan mengembangkan inventaris gas rumah kaca yang komprehensif dan kuat untuk mendukung perencanaan aksi iklim</w:t>
      </w:r>
    </w:p>
    <w:p w14:paraId="10B23591" w14:textId="77777777" w:rsidR="006D3F6D" w:rsidRDefault="006D3F6D" w:rsidP="006D3F6D">
      <w:pPr>
        <w:pStyle w:val="ListParagraph"/>
        <w:numPr>
          <w:ilvl w:val="0"/>
          <w:numId w:val="1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Membantu perkotaan menetapkan inventaris emisi tahun dasar, menetapkan target pengurangan, dan melacak kinerjanya</w:t>
      </w:r>
    </w:p>
    <w:p w14:paraId="1FBDAEB4" w14:textId="77777777" w:rsidR="006D3F6D" w:rsidRDefault="006D3F6D" w:rsidP="006D3F6D">
      <w:pPr>
        <w:pStyle w:val="ListParagraph"/>
        <w:numPr>
          <w:ilvl w:val="0"/>
          <w:numId w:val="1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Memastikan pengukuran dan pelaporan emisi gas rumah kaca yang konsisten dan transparan antar kota, dengan mengikuti prinsip penghitungan dan pelaporan gas rumah kaca yang diakui secara internasional</w:t>
      </w:r>
    </w:p>
    <w:p w14:paraId="4AE3FD9E" w14:textId="77777777" w:rsidR="006D3F6D" w:rsidRDefault="006D3F6D" w:rsidP="006D3F6D">
      <w:pPr>
        <w:pStyle w:val="ListParagraph"/>
        <w:numPr>
          <w:ilvl w:val="0"/>
          <w:numId w:val="1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Memungkinkan inventaris kota dikumpulkan di tingkat sub-nasional dan nasional</w:t>
      </w:r>
    </w:p>
    <w:p w14:paraId="27856227" w14:textId="77777777" w:rsidR="006D3F6D" w:rsidRDefault="006D3F6D" w:rsidP="006D3F6D">
      <w:pPr>
        <w:pStyle w:val="ListParagraph"/>
        <w:numPr>
          <w:ilvl w:val="0"/>
          <w:numId w:val="12"/>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Menunjukkan peran penting yang dimainkan perkotaan dalam mengatasi perubahan iklim, dan memfasilitasi wawasan melalui tolak ukur dan agregasi data pembanding</w:t>
      </w:r>
    </w:p>
    <w:p w14:paraId="43133E25" w14:textId="77777777" w:rsidR="006D3F6D" w:rsidRDefault="006D3F6D" w:rsidP="006D3F6D">
      <w:pPr>
        <w:spacing w:after="120" w:line="360" w:lineRule="auto"/>
        <w:ind w:left="360"/>
        <w:jc w:val="both"/>
        <w:rPr>
          <w:rFonts w:ascii="Times New Roman" w:hAnsi="Times New Roman" w:cs="Times New Roman"/>
          <w:b/>
          <w:bCs/>
          <w:i/>
          <w:iCs/>
          <w:sz w:val="24"/>
          <w:szCs w:val="24"/>
        </w:rPr>
      </w:pPr>
      <w:r>
        <w:rPr>
          <w:rFonts w:ascii="Times New Roman" w:hAnsi="Times New Roman" w:cs="Times New Roman"/>
          <w:b/>
          <w:bCs/>
          <w:i/>
          <w:iCs/>
          <w:sz w:val="24"/>
          <w:szCs w:val="24"/>
        </w:rPr>
        <w:t>Mitigation Goal Standard</w:t>
      </w:r>
    </w:p>
    <w:p w14:paraId="5443F253"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Standar Tujuan Mitigasi Protokol GRK memberikan panduan untuk merancang tujuan mitigasi nasional dan sub-nasional dan pendekatan standar untuk menilai dan melaporkan kemajuan dalam pencapaian tujuan. Standar ini membantu pemerintah menetapkan target pengurangan emisi, memenuhi kewajiban pelaporan emisi domestik dan internasional kepada kelompok seperti UNFCCC, dan memastikan bahwa upaya untuk mengurangi gas emisi mencapai hasil yang diinginkan.</w:t>
      </w:r>
    </w:p>
    <w:p w14:paraId="4DB42EAC"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Standar Tujuan Mitigasi Protokol GRK dikembangkan bersama dengan Standar Kebijakan dan Tindakan, standar akuntansi dan pelaporan untuk memperkirakan efek gas rumah kaca dari kebijakan dan tindakan. Lebih dari 270 peserta dari 40 negara terlibat dalam mengembangkan dua standar baru. Sebagai bagian dari proses, uji coba dilakukan pada sasaran di tingkat nasional atau sub-nasional di Chili, India, Israel, Afrika Selatan, Inggris, dan Amerika Serikat.</w:t>
      </w:r>
    </w:p>
    <w:p w14:paraId="146F5221" w14:textId="77777777" w:rsidR="006D3F6D" w:rsidRDefault="006D3F6D" w:rsidP="006D3F6D">
      <w:pPr>
        <w:spacing w:after="120" w:line="360" w:lineRule="auto"/>
        <w:ind w:left="360"/>
        <w:jc w:val="both"/>
        <w:rPr>
          <w:rFonts w:ascii="Times New Roman" w:hAnsi="Times New Roman" w:cs="Times New Roman"/>
          <w:b/>
          <w:bCs/>
          <w:i/>
          <w:iCs/>
          <w:sz w:val="24"/>
          <w:szCs w:val="24"/>
        </w:rPr>
      </w:pPr>
      <w:r>
        <w:rPr>
          <w:rFonts w:ascii="Times New Roman" w:hAnsi="Times New Roman" w:cs="Times New Roman"/>
          <w:b/>
          <w:bCs/>
          <w:i/>
          <w:iCs/>
          <w:sz w:val="24"/>
          <w:szCs w:val="24"/>
        </w:rPr>
        <w:t>Product Life Cycle Standard</w:t>
      </w:r>
    </w:p>
    <w:p w14:paraId="0DAE8712"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Standar Penghitungan dan Pelaporan Siklus Hidup Produk dapat digunakan untuk memahami emisi siklus hidup penuh suatu produk dan berfokus pada upaya pengurangan GRK terbesar. Standar Siklus Hidup Produk dan Rantai Nilai Perusahaan telah dirancang berbagai proses pemangku kepentingan yang luas, inklusif. Standar ini memberikan metode  yang dapat digunakan untuk menghitung dan melaporkan emisi dari perusahaan di semua sektor, secara global. Standar ini disertai dengan panduan dan alat yang mudah digunakan yang dikembangkan oleh Protokol GRK.</w:t>
      </w:r>
    </w:p>
    <w:p w14:paraId="7B807129"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Standar produk ini memungkinkan  perusahaan untuk dapat mengukur gas rumah kaca yang terkait dengan siklus produk dari tahapan awal sampai akhir seperti bahan mentah, manufaktur, transportasi, penyimpanan, penggunaan dan pembuangan. Hasil yang didapatkan dengan </w:t>
      </w:r>
      <w:r>
        <w:rPr>
          <w:rFonts w:ascii="Times New Roman" w:hAnsi="Times New Roman" w:cs="Times New Roman"/>
          <w:sz w:val="24"/>
          <w:szCs w:val="24"/>
        </w:rPr>
        <w:lastRenderedPageBreak/>
        <w:t xml:space="preserve">menggunakan standar ini produk memiliki keunggulan kompetitif yang memungkinkan produk memiliki desain yang lebih baik, meningkatkan efisiensi mengurangi biaya, dan menghilangkan risiko.  Dengan menggunakan standar ini juga, perusahaan mampu untuk memberikan informasi lain seperti informasi terkait aspek lingkungan dari produk yang dihasilkan.  </w:t>
      </w:r>
    </w:p>
    <w:p w14:paraId="098237DF" w14:textId="77777777" w:rsidR="006D3F6D" w:rsidRDefault="006D3F6D" w:rsidP="006D3F6D">
      <w:pPr>
        <w:spacing w:after="120" w:line="360" w:lineRule="auto"/>
        <w:ind w:left="360"/>
        <w:jc w:val="both"/>
        <w:rPr>
          <w:rFonts w:ascii="Times New Roman" w:hAnsi="Times New Roman" w:cs="Times New Roman"/>
          <w:b/>
          <w:bCs/>
          <w:i/>
          <w:iCs/>
          <w:sz w:val="24"/>
          <w:szCs w:val="24"/>
        </w:rPr>
      </w:pPr>
      <w:r>
        <w:rPr>
          <w:rFonts w:ascii="Times New Roman" w:hAnsi="Times New Roman" w:cs="Times New Roman"/>
          <w:b/>
          <w:bCs/>
          <w:i/>
          <w:iCs/>
          <w:sz w:val="24"/>
          <w:szCs w:val="24"/>
        </w:rPr>
        <w:t>Policy and Action Standard</w:t>
      </w:r>
    </w:p>
    <w:p w14:paraId="63A610CB"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Standar Tindakan dan Kebijakan Protokol GRK  merupakan standar yang memberikan pendekatan untuk memperkirakan efek gas rumah kaca dari kebijakan dan tindakan yang diambil. Analis dengan menggunakan pendekatan standar ini yang dilakukan baik di tingkat nasional maupun lokal dapat mengevaluasi dampak GRK dari kebijakan tertentu untuk meningkatkan efektivitasnya dalam mengurangi emisi dan menginformasikan bagian atau bidang mana yang harus diberikan fokus investasi sumber daya untuk mencapai hasil terbaik.</w:t>
      </w:r>
    </w:p>
    <w:p w14:paraId="74DF3115" w14:textId="77777777" w:rsidR="006D3F6D" w:rsidRDefault="006D3F6D" w:rsidP="006D3F6D">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Standar Kebijakan dan Tindakan Protokol GRK dikembangkan bersama dengan Standar Tujuan Mitigasi. Lebih dari 270 peserta dari 40 negara terlibat dalam mengembangkan dua standar baru ini. Sebagai bagian dari proses, uji coba dilakukan pada 27 kebijakan dan tindakan di 20 negara dan kota untuk memastikan standar berhasil dalam praktiknya. Standar Kebijakan dan Tindakan Protokol GRK memberikan pendekatan untuk memperkirakan dan melaporkan perubahan emisi dan serapan GRK yang dihasilkan dari kebijakan dan tindakan yang dilakukan. Standar dikembangkan dengan tujuan sebagai berikut:</w:t>
      </w:r>
    </w:p>
    <w:p w14:paraId="316ADDB4" w14:textId="77777777" w:rsidR="006D3F6D" w:rsidRDefault="006D3F6D" w:rsidP="006D3F6D">
      <w:pPr>
        <w:pStyle w:val="ListParagraph"/>
        <w:numPr>
          <w:ilvl w:val="0"/>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Untuk membantu pengguna menilai efek GRK dari kebijakan dan tindakan tertentu secara akurat, konsisten, transparan, lengkap, dan relevan</w:t>
      </w:r>
    </w:p>
    <w:p w14:paraId="6BC80B98" w14:textId="77777777" w:rsidR="006D3F6D" w:rsidRDefault="006D3F6D" w:rsidP="006D3F6D">
      <w:pPr>
        <w:pStyle w:val="ListParagraph"/>
        <w:numPr>
          <w:ilvl w:val="0"/>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Untuk membantu pembuat kebijakan dan pembuat keputusan lainnya mengembangkan strategi yang efektif untuk mengelola dan mengurangi emisi GRK melalui pemahaman yang lebih baik tentang dampak emisi dari kebijakan dan tindakan</w:t>
      </w:r>
    </w:p>
    <w:p w14:paraId="7471B1D0" w14:textId="77777777" w:rsidR="006D3F6D" w:rsidRDefault="006D3F6D" w:rsidP="006D3F6D">
      <w:pPr>
        <w:pStyle w:val="ListParagraph"/>
        <w:numPr>
          <w:ilvl w:val="0"/>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Untuk mendukung pelaporan publik yang konsisten dan transparan tentang dampak emisi dan efektivitas kebijakan</w:t>
      </w:r>
    </w:p>
    <w:p w14:paraId="48BF7278" w14:textId="77777777" w:rsidR="006D3F6D" w:rsidRDefault="006D3F6D" w:rsidP="006D3F6D">
      <w:pPr>
        <w:pStyle w:val="ListParagraph"/>
        <w:numPr>
          <w:ilvl w:val="0"/>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Untuk menciptakan lebih banyak konsistensi dan transparansi internasional dalam cara memperkirakan efek GRK dari kebijakan dan tindakan yang akan terjadi.</w:t>
      </w:r>
    </w:p>
    <w:p w14:paraId="5AAB862B" w14:textId="77777777" w:rsidR="00BC6400" w:rsidRDefault="00BC6400"/>
    <w:sectPr w:rsidR="00BC6400" w:rsidSect="00E83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E558E"/>
    <w:multiLevelType w:val="hybridMultilevel"/>
    <w:tmpl w:val="D382A56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1F3C0157"/>
    <w:multiLevelType w:val="hybridMultilevel"/>
    <w:tmpl w:val="3C2265C0"/>
    <w:lvl w:ilvl="0" w:tplc="3809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 w15:restartNumberingAfterBreak="0">
    <w:nsid w:val="258E7F18"/>
    <w:multiLevelType w:val="hybridMultilevel"/>
    <w:tmpl w:val="CA14EA0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29D63EF1"/>
    <w:multiLevelType w:val="hybridMultilevel"/>
    <w:tmpl w:val="BF5E3152"/>
    <w:lvl w:ilvl="0" w:tplc="04210001">
      <w:start w:val="1"/>
      <w:numFmt w:val="bullet"/>
      <w:lvlText w:val=""/>
      <w:lvlJc w:val="left"/>
      <w:pPr>
        <w:ind w:left="1080" w:hanging="360"/>
      </w:pPr>
      <w:rPr>
        <w:rFonts w:ascii="Symbol" w:hAnsi="Symbol" w:hint="default"/>
      </w:r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4" w15:restartNumberingAfterBreak="0">
    <w:nsid w:val="29FA197E"/>
    <w:multiLevelType w:val="hybridMultilevel"/>
    <w:tmpl w:val="7AD6E8DA"/>
    <w:lvl w:ilvl="0" w:tplc="04210001">
      <w:start w:val="1"/>
      <w:numFmt w:val="bullet"/>
      <w:lvlText w:val=""/>
      <w:lvlJc w:val="left"/>
      <w:pPr>
        <w:ind w:left="1080" w:hanging="360"/>
      </w:pPr>
      <w:rPr>
        <w:rFonts w:ascii="Symbol" w:hAnsi="Symbol" w:hint="default"/>
      </w:r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5" w15:restartNumberingAfterBreak="0">
    <w:nsid w:val="2D595B57"/>
    <w:multiLevelType w:val="hybridMultilevel"/>
    <w:tmpl w:val="98E06BBC"/>
    <w:lvl w:ilvl="0" w:tplc="240C2C36">
      <w:start w:val="4"/>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 w15:restartNumberingAfterBreak="0">
    <w:nsid w:val="338065C4"/>
    <w:multiLevelType w:val="hybridMultilevel"/>
    <w:tmpl w:val="B6429DFA"/>
    <w:lvl w:ilvl="0" w:tplc="04210001">
      <w:start w:val="1"/>
      <w:numFmt w:val="bullet"/>
      <w:lvlText w:val=""/>
      <w:lvlJc w:val="left"/>
      <w:pPr>
        <w:ind w:left="1080" w:hanging="360"/>
      </w:pPr>
      <w:rPr>
        <w:rFonts w:ascii="Symbol" w:hAnsi="Symbol" w:hint="default"/>
      </w:r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7" w15:restartNumberingAfterBreak="0">
    <w:nsid w:val="3A133BCC"/>
    <w:multiLevelType w:val="hybridMultilevel"/>
    <w:tmpl w:val="2FCE505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3AC30891"/>
    <w:multiLevelType w:val="hybridMultilevel"/>
    <w:tmpl w:val="889897B4"/>
    <w:lvl w:ilvl="0" w:tplc="38090001">
      <w:start w:val="1"/>
      <w:numFmt w:val="bullet"/>
      <w:lvlText w:val=""/>
      <w:lvlJc w:val="left"/>
      <w:pPr>
        <w:ind w:left="1500" w:hanging="360"/>
      </w:pPr>
      <w:rPr>
        <w:rFonts w:ascii="Symbol" w:hAnsi="Symbol" w:hint="default"/>
      </w:rPr>
    </w:lvl>
    <w:lvl w:ilvl="1" w:tplc="04210003">
      <w:start w:val="1"/>
      <w:numFmt w:val="bullet"/>
      <w:lvlText w:val="o"/>
      <w:lvlJc w:val="left"/>
      <w:pPr>
        <w:ind w:left="2220" w:hanging="360"/>
      </w:pPr>
      <w:rPr>
        <w:rFonts w:ascii="Courier New" w:hAnsi="Courier New" w:cs="Courier New" w:hint="default"/>
      </w:rPr>
    </w:lvl>
    <w:lvl w:ilvl="2" w:tplc="04210005">
      <w:start w:val="1"/>
      <w:numFmt w:val="bullet"/>
      <w:lvlText w:val=""/>
      <w:lvlJc w:val="left"/>
      <w:pPr>
        <w:ind w:left="2940" w:hanging="360"/>
      </w:pPr>
      <w:rPr>
        <w:rFonts w:ascii="Wingdings" w:hAnsi="Wingdings" w:hint="default"/>
      </w:rPr>
    </w:lvl>
    <w:lvl w:ilvl="3" w:tplc="04210001">
      <w:start w:val="1"/>
      <w:numFmt w:val="bullet"/>
      <w:lvlText w:val=""/>
      <w:lvlJc w:val="left"/>
      <w:pPr>
        <w:ind w:left="3660" w:hanging="360"/>
      </w:pPr>
      <w:rPr>
        <w:rFonts w:ascii="Symbol" w:hAnsi="Symbol" w:hint="default"/>
      </w:rPr>
    </w:lvl>
    <w:lvl w:ilvl="4" w:tplc="04210003">
      <w:start w:val="1"/>
      <w:numFmt w:val="bullet"/>
      <w:lvlText w:val="o"/>
      <w:lvlJc w:val="left"/>
      <w:pPr>
        <w:ind w:left="4380" w:hanging="360"/>
      </w:pPr>
      <w:rPr>
        <w:rFonts w:ascii="Courier New" w:hAnsi="Courier New" w:cs="Courier New" w:hint="default"/>
      </w:rPr>
    </w:lvl>
    <w:lvl w:ilvl="5" w:tplc="04210005">
      <w:start w:val="1"/>
      <w:numFmt w:val="bullet"/>
      <w:lvlText w:val=""/>
      <w:lvlJc w:val="left"/>
      <w:pPr>
        <w:ind w:left="5100" w:hanging="360"/>
      </w:pPr>
      <w:rPr>
        <w:rFonts w:ascii="Wingdings" w:hAnsi="Wingdings" w:hint="default"/>
      </w:rPr>
    </w:lvl>
    <w:lvl w:ilvl="6" w:tplc="04210001">
      <w:start w:val="1"/>
      <w:numFmt w:val="bullet"/>
      <w:lvlText w:val=""/>
      <w:lvlJc w:val="left"/>
      <w:pPr>
        <w:ind w:left="5820" w:hanging="360"/>
      </w:pPr>
      <w:rPr>
        <w:rFonts w:ascii="Symbol" w:hAnsi="Symbol" w:hint="default"/>
      </w:rPr>
    </w:lvl>
    <w:lvl w:ilvl="7" w:tplc="04210003">
      <w:start w:val="1"/>
      <w:numFmt w:val="bullet"/>
      <w:lvlText w:val="o"/>
      <w:lvlJc w:val="left"/>
      <w:pPr>
        <w:ind w:left="6540" w:hanging="360"/>
      </w:pPr>
      <w:rPr>
        <w:rFonts w:ascii="Courier New" w:hAnsi="Courier New" w:cs="Courier New" w:hint="default"/>
      </w:rPr>
    </w:lvl>
    <w:lvl w:ilvl="8" w:tplc="04210005">
      <w:start w:val="1"/>
      <w:numFmt w:val="bullet"/>
      <w:lvlText w:val=""/>
      <w:lvlJc w:val="left"/>
      <w:pPr>
        <w:ind w:left="7260" w:hanging="360"/>
      </w:pPr>
      <w:rPr>
        <w:rFonts w:ascii="Wingdings" w:hAnsi="Wingdings" w:hint="default"/>
      </w:rPr>
    </w:lvl>
  </w:abstractNum>
  <w:abstractNum w:abstractNumId="9" w15:restartNumberingAfterBreak="0">
    <w:nsid w:val="4C006B25"/>
    <w:multiLevelType w:val="hybridMultilevel"/>
    <w:tmpl w:val="C00ACB48"/>
    <w:lvl w:ilvl="0" w:tplc="04210001">
      <w:start w:val="1"/>
      <w:numFmt w:val="bullet"/>
      <w:lvlText w:val=""/>
      <w:lvlJc w:val="left"/>
      <w:pPr>
        <w:ind w:left="1080" w:hanging="360"/>
      </w:pPr>
      <w:rPr>
        <w:rFonts w:ascii="Symbol" w:hAnsi="Symbol" w:hint="default"/>
      </w:r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10" w15:restartNumberingAfterBreak="0">
    <w:nsid w:val="56496E59"/>
    <w:multiLevelType w:val="hybridMultilevel"/>
    <w:tmpl w:val="5ABEA1C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1" w15:restartNumberingAfterBreak="0">
    <w:nsid w:val="765C6A10"/>
    <w:multiLevelType w:val="hybridMultilevel"/>
    <w:tmpl w:val="C9AC7BF4"/>
    <w:lvl w:ilvl="0" w:tplc="F5C8ADCA">
      <w:start w:val="6"/>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2" w15:restartNumberingAfterBreak="0">
    <w:nsid w:val="7B523B5F"/>
    <w:multiLevelType w:val="hybridMultilevel"/>
    <w:tmpl w:val="34167994"/>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6D"/>
    <w:rsid w:val="006D3F6D"/>
    <w:rsid w:val="00BC6400"/>
    <w:rsid w:val="00E64D06"/>
    <w:rsid w:val="00E83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DEB9"/>
  <w15:chartTrackingRefBased/>
  <w15:docId w15:val="{9FE99A2D-B267-418D-82CB-5F23BBDA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F6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F6D"/>
    <w:pPr>
      <w:ind w:left="720"/>
      <w:contextualSpacing/>
    </w:pPr>
  </w:style>
  <w:style w:type="paragraph" w:styleId="NormalWeb">
    <w:name w:val="Normal (Web)"/>
    <w:basedOn w:val="Normal"/>
    <w:uiPriority w:val="99"/>
    <w:semiHidden/>
    <w:unhideWhenUsed/>
    <w:rsid w:val="006D3F6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39"/>
    <w:rsid w:val="006D3F6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3829</Words>
  <Characters>21827</Characters>
  <Application>Microsoft Office Word</Application>
  <DocSecurity>0</DocSecurity>
  <Lines>181</Lines>
  <Paragraphs>51</Paragraphs>
  <ScaleCrop>false</ScaleCrop>
  <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Ulfah Tika Saputri</dc:creator>
  <cp:keywords/>
  <dc:description/>
  <cp:lastModifiedBy>Ulfah Tika Saputri</cp:lastModifiedBy>
  <cp:revision>1</cp:revision>
  <dcterms:created xsi:type="dcterms:W3CDTF">2021-04-01T01:38:00Z</dcterms:created>
  <dcterms:modified xsi:type="dcterms:W3CDTF">2021-04-01T01:38:00Z</dcterms:modified>
</cp:coreProperties>
</file>