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4A2BB" w14:textId="465DA2D1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KALIMAT TAUHID</w:t>
      </w:r>
    </w:p>
    <w:p w14:paraId="5BB3C2C3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Makna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secara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bahasa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arab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merupakan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bentuk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masdar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dari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fi’il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wahhada-yuwahhidu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(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dengan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huruf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ha di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tasydid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),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artinya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menjadikan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sesuatu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satu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saja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.</w:t>
      </w:r>
    </w:p>
    <w:p w14:paraId="1A43A316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Kalimat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tersebut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yakni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LAA ILA HA ILLALLOH</w:t>
      </w:r>
    </w:p>
    <w:p w14:paraId="2FD43A37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Artinya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Tuhan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kecuali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Alloh</w:t>
      </w:r>
      <w:proofErr w:type="spellEnd"/>
    </w:p>
    <w:p w14:paraId="7BCA24CC" w14:textId="569E98BB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Syaikh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Muhammad bin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Shalih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Utsaimin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berkata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: “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Makna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ini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tepat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kecuali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diikuti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dengan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penafian</w:t>
      </w:r>
      <w:proofErr w:type="spellEnd"/>
      <w:r w:rsidR="007D27EE">
        <w:rPr>
          <w:rFonts w:ascii="Helvetica" w:eastAsia="Times New Roman" w:hAnsi="Helvetica" w:cs="Helvetica"/>
          <w:sz w:val="26"/>
          <w:szCs w:val="26"/>
          <w:lang w:eastAsia="en-ID"/>
        </w:rPr>
        <w:t xml:space="preserve"> (</w:t>
      </w:r>
      <w:proofErr w:type="spellStart"/>
      <w:r w:rsidR="007D27EE">
        <w:rPr>
          <w:rFonts w:ascii="Helvetica" w:eastAsia="Times New Roman" w:hAnsi="Helvetica" w:cs="Helvetica"/>
          <w:sz w:val="26"/>
          <w:szCs w:val="26"/>
          <w:lang w:eastAsia="en-ID"/>
        </w:rPr>
        <w:t>peniadaan</w:t>
      </w:r>
      <w:proofErr w:type="spellEnd"/>
      <w:r w:rsidR="007D27EE">
        <w:rPr>
          <w:rFonts w:ascii="Helvetica" w:eastAsia="Times New Roman" w:hAnsi="Helvetica" w:cs="Helvetica"/>
          <w:sz w:val="26"/>
          <w:szCs w:val="26"/>
          <w:lang w:eastAsia="en-ID"/>
        </w:rPr>
        <w:t>)</w:t>
      </w: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.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Yaitu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menafikan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segala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sesuatu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selain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sesuatu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kita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jadikan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satu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saja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kemudian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baru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menetapkannya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” (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Syarh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Tsalatsatil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Ushul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, 39).</w:t>
      </w:r>
    </w:p>
    <w:p w14:paraId="14F297A1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Secara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istilah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syar’i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makna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menjadikan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sebagai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satu-satunya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sesembahan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benar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dengan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segala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kekhususannya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(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Syarh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Tsalatsatil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Ushul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, 39).</w:t>
      </w:r>
    </w:p>
    <w:p w14:paraId="39AFB628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Dari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makna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ini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sesungguhnya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dapat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dipahami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bahwa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banyak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hal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dijadikan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sesembahan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oleh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manusia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bisa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jadi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berupa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Malaikat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para Nabi, orang-orang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shalih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atau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bahkan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makhluk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yang lain,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namun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seorang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hanya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menjadikan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sebagai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satu-satunya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sesembahan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saja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.</w:t>
      </w:r>
    </w:p>
    <w:p w14:paraId="24EBFEFD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</w:p>
    <w:p w14:paraId="0CA1FD51" w14:textId="77777777" w:rsidR="00A92ED6" w:rsidRPr="00A92ED6" w:rsidRDefault="00A92ED6" w:rsidP="00A92ED6">
      <w:pPr>
        <w:shd w:val="clear" w:color="auto" w:fill="FFFFFF"/>
        <w:spacing w:before="199" w:after="199" w:line="240" w:lineRule="auto"/>
        <w:outlineLvl w:val="1"/>
        <w:rPr>
          <w:rFonts w:ascii="Helvetica" w:eastAsia="Times New Roman" w:hAnsi="Helvetica" w:cs="Helvetica"/>
          <w:sz w:val="43"/>
          <w:szCs w:val="43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b/>
          <w:bCs/>
          <w:sz w:val="43"/>
          <w:szCs w:val="43"/>
          <w:lang w:eastAsia="en-ID"/>
        </w:rPr>
        <w:t>Pembagian</w:t>
      </w:r>
      <w:proofErr w:type="spellEnd"/>
      <w:r w:rsidRPr="00A92ED6">
        <w:rPr>
          <w:rFonts w:ascii="Helvetica" w:eastAsia="Times New Roman" w:hAnsi="Helvetica" w:cs="Helvetica"/>
          <w:b/>
          <w:bCs/>
          <w:sz w:val="43"/>
          <w:szCs w:val="43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b/>
          <w:bCs/>
          <w:sz w:val="43"/>
          <w:szCs w:val="43"/>
          <w:lang w:eastAsia="en-ID"/>
        </w:rPr>
        <w:t>Tauhid</w:t>
      </w:r>
      <w:proofErr w:type="spellEnd"/>
    </w:p>
    <w:p w14:paraId="3D7FB1E4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Dari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hasil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pengkajian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terhadap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dalil-dalil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dilakukan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para ulama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sejak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dahulu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hingga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sekarang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mereka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menyimpulkan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bahwa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terbagi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menjadi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tiga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: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Rububiyah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Uluhiyah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 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Al Asma Was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Shifat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.</w:t>
      </w:r>
    </w:p>
    <w:p w14:paraId="66D84AC6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dimaksud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dengan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b/>
          <w:bCs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b/>
          <w:b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b/>
          <w:bCs/>
          <w:sz w:val="26"/>
          <w:szCs w:val="26"/>
          <w:lang w:eastAsia="en-ID"/>
        </w:rPr>
        <w:t>Rububiyyah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mentauhidkan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dalam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kejadian-kejadian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hanya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bisa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dilakukan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oleh Allah,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serta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menyatakan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dengan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tegas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bahwa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Ta’ala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Rabb, Raja,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Pencipta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semua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makhluk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Allahlah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mengatur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mengubah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keadaan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mereka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. (</w:t>
      </w:r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Al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Jadid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Syarh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Kitab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, </w:t>
      </w: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17).</w:t>
      </w:r>
    </w:p>
    <w:p w14:paraId="12B96AB2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Meyakini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rububiyah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yaitu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meyakini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kekuasaan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dalam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mencipta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mengatur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alam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semesta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misalnya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meyakini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bumi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langit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serta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isinya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diciptakan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oleh Allah,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Allahlah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memberikan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rizqi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Allah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mendatangkan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badai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hujan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menggerakan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bintang-bintang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dll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.</w:t>
      </w:r>
    </w:p>
    <w:p w14:paraId="6E3EDD31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Di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nyatakan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dalam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 Qur’an:</w:t>
      </w:r>
    </w:p>
    <w:p w14:paraId="7CB89948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Tahoma" w:eastAsia="Times New Roman" w:hAnsi="Tahoma" w:cs="Tahoma"/>
          <w:sz w:val="26"/>
          <w:szCs w:val="26"/>
          <w:rtl/>
          <w:lang w:eastAsia="en-ID"/>
        </w:rPr>
        <w:lastRenderedPageBreak/>
        <w:t>الْحَمْدُ لِلَّهِ الَّذِي خَلَقَ السَّمَاوَاتِ وَالْأَرْضَ وَجَعَلَ الظُّلُمَاتِ وَالنُّورَ</w:t>
      </w:r>
    </w:p>
    <w:p w14:paraId="50DD625B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“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Segala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puji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bagi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Allah yang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telah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menciptakan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langit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bumi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Mengadakan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gelap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terang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” (QS. Al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An’am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: 1)</w:t>
      </w:r>
    </w:p>
    <w:p w14:paraId="581318FF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perhatikanlah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baik-baik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rububiyyah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ini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diyakini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semua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orang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baik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mukmin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maupun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kafir,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sejak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dahulu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hingga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sekarang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.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Bahkan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mereka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menyembah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beribadah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kepada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Allah. Hal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ini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dikhabarkan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dalam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 Qur’an:</w:t>
      </w:r>
    </w:p>
    <w:p w14:paraId="6FB2C39A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Tahoma" w:eastAsia="Times New Roman" w:hAnsi="Tahoma" w:cs="Tahoma"/>
          <w:sz w:val="26"/>
          <w:szCs w:val="26"/>
          <w:rtl/>
          <w:lang w:eastAsia="en-ID"/>
        </w:rPr>
        <w:t>وَلَئِنْ سَأَلْتَهُمْ مَنْ خَلَقَهُمْ لَيَقُولُنَّ اللَّهُ</w:t>
      </w:r>
    </w:p>
    <w:p w14:paraId="3806EA66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“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Sungguh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jika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kamu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bertanya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kepada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mereka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(orang-orang kafir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jahiliyah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), ’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Siapa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telah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menciptakan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mereka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?’,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niscaya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mereka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akan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menjawab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‘Allah</w:t>
      </w:r>
      <w:proofErr w:type="gram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’</w:t>
      </w: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”</w:t>
      </w:r>
      <w:proofErr w:type="gram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. (QS. Az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Zukhruf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: 87)</w:t>
      </w:r>
    </w:p>
    <w:p w14:paraId="7C5B23D7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Tahoma" w:eastAsia="Times New Roman" w:hAnsi="Tahoma" w:cs="Tahoma"/>
          <w:sz w:val="26"/>
          <w:szCs w:val="26"/>
          <w:rtl/>
          <w:lang w:eastAsia="en-ID"/>
        </w:rPr>
        <w:t>وَلَئِنْ سَأَلْتَهُمْ مَنْ خَلَقَ السَّمَاوَاتِ وَالْأَرْضَ وَسَخَّرَ الشَّمْسَ وَالْقَمَرَ لَيَقُولُنَّ اللَّهُ</w:t>
      </w:r>
    </w:p>
    <w:p w14:paraId="4F7AF8AC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“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Sungguh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jika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kamu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bertanya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kepada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mereka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(orang-orang kafir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jahiliyah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), ’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Siapa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telah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menciptakan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langit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bumi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serta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menjalankan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matahari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juga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bulan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?’,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niscaya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mereka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akan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menjawab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‘Allah</w:t>
      </w:r>
      <w:proofErr w:type="gram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’</w:t>
      </w: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”</w:t>
      </w:r>
      <w:proofErr w:type="gram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. (QS. Al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Ankabut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61)</w:t>
      </w:r>
    </w:p>
    <w:p w14:paraId="3BA2CB35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Oleh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karena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itu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kita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dapati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ayahanda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dari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Rasulullah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shallallahu’alaihi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wasallam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bernama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Abdullah,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artinya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hamba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Allah.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Padahal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ketika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Abdullah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diberi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nama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demikian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Rasulullah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shallallahu’alaihi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wasallam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tentunya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belum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lahir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.</w:t>
      </w:r>
    </w:p>
    <w:p w14:paraId="6F5A793B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Adapun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mengimani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rububiyah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fldChar w:fldCharType="begin"/>
      </w: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instrText xml:space="preserve"> HYPERLINK "https://muslim.or.id/57136-renungan-bagi-atheis-semoga-anda-mendapatkan-hidayah-islam.html" \t "_blank" </w:instrText>
      </w: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fldChar w:fldCharType="separate"/>
      </w: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kaum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komunis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atheis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fldChar w:fldCharType="end"/>
      </w: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.</w:t>
      </w:r>
    </w:p>
    <w:p w14:paraId="7CE9C97C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Syaikh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Muhammad bin Jamil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Zainu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berkata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: “Orang-orang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komunis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mengakui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Tuhan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.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Dengan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keyakinan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mereka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demikian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berarti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mereka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lebih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kufur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daripada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orang-orang kafir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jahiliyah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” (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Lihat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Minhaj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Firqotin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Najiyyah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)</w:t>
      </w:r>
    </w:p>
    <w:p w14:paraId="2FE3A065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Pertanyaan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jika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orang kafir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jahiliyyah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sudah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menyembah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beribadah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kepada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sejak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dahulu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lalu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apa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diperjuangkan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oleh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Rasulullah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dan para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sahabat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?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Mengapa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mereka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berlelah-lelah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penuh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penderitaan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mendapat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banyak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perlawanan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dari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kaum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kafirin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?</w:t>
      </w:r>
    </w:p>
    <w:p w14:paraId="4A8D1064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Jawabannya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meski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orang kafir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jahilyyah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beribadah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kepada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mereka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uluhiyyah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kepada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Allah,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inilah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diperjuangkan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oleh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Rasulullah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dan para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sahabat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.</w:t>
      </w:r>
    </w:p>
    <w:p w14:paraId="20BAB408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b/>
          <w:bCs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b/>
          <w:b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b/>
          <w:bCs/>
          <w:sz w:val="26"/>
          <w:szCs w:val="26"/>
          <w:lang w:eastAsia="en-ID"/>
        </w:rPr>
        <w:t>Uluhiyyah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mentauhidkan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dalam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segala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bentuk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peribadahan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baik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zhahir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maupun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batin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(</w:t>
      </w:r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Al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Jadid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Syarh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Kitab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, 17</w:t>
      </w: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).</w:t>
      </w:r>
    </w:p>
    <w:p w14:paraId="3599595E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Dalilnya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:</w:t>
      </w:r>
    </w:p>
    <w:p w14:paraId="57064968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Tahoma" w:eastAsia="Times New Roman" w:hAnsi="Tahoma" w:cs="Tahoma"/>
          <w:sz w:val="26"/>
          <w:szCs w:val="26"/>
          <w:rtl/>
          <w:lang w:eastAsia="en-ID"/>
        </w:rPr>
        <w:lastRenderedPageBreak/>
        <w:t>إِيَّاكَ نَعْبُدُ وَإِيَّاكَ نَسْتَعِينُ</w:t>
      </w:r>
    </w:p>
    <w:p w14:paraId="273B07F4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“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Hanya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Engkaulah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yang Kami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sembah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, dan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hanya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kepada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Engkaulah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Kami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meminta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pertolongan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” (Al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Fatihah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: 5)</w:t>
      </w:r>
    </w:p>
    <w:p w14:paraId="1EACE812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Sedangkan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makna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ibadah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semua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hal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dicintai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oleh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baik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berupa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perkataan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maupun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perbuatan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.</w:t>
      </w:r>
    </w:p>
    <w:p w14:paraId="6A4FB881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Apa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maksud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‘yang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dicintai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Allah’?</w:t>
      </w:r>
    </w:p>
    <w:p w14:paraId="0F660F06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Yaitu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segala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sesuatu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telah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diperintahkan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oleh Allah dan Rasul-Nya,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segala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sesuatu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dijanjikan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balasan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kebaikan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bila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melakukannya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.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Seperti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shalat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puasa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bershodaqoh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menyembelih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.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Termasuk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ibadah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juga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berdoa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cinta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bertawakkal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,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istighotsah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dan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isti’anah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.</w:t>
      </w:r>
    </w:p>
    <w:p w14:paraId="595B0AB5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seorang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uluhiyah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hanya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meyerahkan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semua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ibadah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ini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kepada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semata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kepada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lain.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Sedangkan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orang kafir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jahiliyyah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selain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beribadah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kepada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mereka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juga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memohon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berdoa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beristighotsah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kepada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selain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Allah.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inilah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diperangi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Rasulullah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ini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juga inti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dari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ajaran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para Nabi dan Rasul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seluruhnya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mendakwahkan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uluhiyyah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.</w:t>
      </w:r>
    </w:p>
    <w:p w14:paraId="14B69E12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Ta’ala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berfirman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:</w:t>
      </w:r>
    </w:p>
    <w:p w14:paraId="3CDAC3A0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Tahoma" w:eastAsia="Times New Roman" w:hAnsi="Tahoma" w:cs="Tahoma"/>
          <w:sz w:val="26"/>
          <w:szCs w:val="26"/>
          <w:rtl/>
          <w:lang w:eastAsia="en-ID"/>
        </w:rPr>
        <w:t>وَلَقَدْ بَعَثْنَا فِي كُلِّ أُمَّةٍ رَسُولًا أَنِ اعْبُدُوا اللَّهَ وَاجْتَنِبُوا الطَّاغُوتَ</w:t>
      </w:r>
    </w:p>
    <w:p w14:paraId="2F8F959C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“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Sungguh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telah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kami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utus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Rasul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untuk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setiap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uumat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dengan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tujuan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untuk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mengatakan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: ‘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Sembahlah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saja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jauhilah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proofErr w:type="gram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thagut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‘</w:t>
      </w:r>
      <w:proofErr w:type="gram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” (QS. </w:t>
      </w:r>
      <w:proofErr w:type="gram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An</w:t>
      </w:r>
      <w:proofErr w:type="gram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Nahl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: 36)</w:t>
      </w:r>
    </w:p>
    <w:p w14:paraId="326B5C43" w14:textId="77777777" w:rsidR="00A92ED6" w:rsidRPr="00A92ED6" w:rsidRDefault="00167EB3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hyperlink r:id="rId6" w:tgtFrame="_blank" w:history="1">
        <w:proofErr w:type="spellStart"/>
        <w:r w:rsidR="00A92ED6" w:rsidRPr="00A92ED6">
          <w:rPr>
            <w:rFonts w:ascii="Helvetica" w:eastAsia="Times New Roman" w:hAnsi="Helvetica" w:cs="Helvetica"/>
            <w:sz w:val="26"/>
            <w:szCs w:val="26"/>
            <w:lang w:eastAsia="en-ID"/>
          </w:rPr>
          <w:t>Syaikh</w:t>
        </w:r>
        <w:proofErr w:type="spellEnd"/>
        <w:r w:rsidR="00A92ED6" w:rsidRPr="00A92ED6">
          <w:rPr>
            <w:rFonts w:ascii="Helvetica" w:eastAsia="Times New Roman" w:hAnsi="Helvetica" w:cs="Helvetica"/>
            <w:sz w:val="26"/>
            <w:szCs w:val="26"/>
            <w:lang w:eastAsia="en-ID"/>
          </w:rPr>
          <w:t xml:space="preserve"> DR. </w:t>
        </w:r>
        <w:proofErr w:type="spellStart"/>
        <w:r w:rsidR="00A92ED6" w:rsidRPr="00A92ED6">
          <w:rPr>
            <w:rFonts w:ascii="Helvetica" w:eastAsia="Times New Roman" w:hAnsi="Helvetica" w:cs="Helvetica"/>
            <w:sz w:val="26"/>
            <w:szCs w:val="26"/>
            <w:lang w:eastAsia="en-ID"/>
          </w:rPr>
          <w:t>Shalih</w:t>
        </w:r>
        <w:proofErr w:type="spellEnd"/>
        <w:r w:rsidR="00A92ED6" w:rsidRPr="00A92ED6">
          <w:rPr>
            <w:rFonts w:ascii="Helvetica" w:eastAsia="Times New Roman" w:hAnsi="Helvetica" w:cs="Helvetica"/>
            <w:sz w:val="26"/>
            <w:szCs w:val="26"/>
            <w:lang w:eastAsia="en-ID"/>
          </w:rPr>
          <w:t xml:space="preserve"> Al </w:t>
        </w:r>
        <w:proofErr w:type="spellStart"/>
        <w:r w:rsidR="00A92ED6" w:rsidRPr="00A92ED6">
          <w:rPr>
            <w:rFonts w:ascii="Helvetica" w:eastAsia="Times New Roman" w:hAnsi="Helvetica" w:cs="Helvetica"/>
            <w:sz w:val="26"/>
            <w:szCs w:val="26"/>
            <w:lang w:eastAsia="en-ID"/>
          </w:rPr>
          <w:t>Fauzan</w:t>
        </w:r>
        <w:proofErr w:type="spellEnd"/>
      </w:hyperlink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berkata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: “Dari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tiga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bagian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ini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paling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ditekankan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adalah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uluhiyah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. Karena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ini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adalah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misi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dakwah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para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rasul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dan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alasan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diturunkannya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kitab-kitab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suci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dan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alasan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ditegakkannya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jihad di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jalan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Allah.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Semua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itu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adalah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agar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hanya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saja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disembah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dan agar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penghambaan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kepada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selainNya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ditinggalkan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” (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Lihat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="00A92ED6"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Syarh</w:t>
      </w:r>
      <w:proofErr w:type="spellEnd"/>
      <w:r w:rsidR="00A92ED6"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Aqidah</w:t>
      </w:r>
      <w:proofErr w:type="spellEnd"/>
      <w:r w:rsidR="00A92ED6"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Ath</w:t>
      </w:r>
      <w:proofErr w:type="spellEnd"/>
      <w:r w:rsidR="00A92ED6"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Thahawiyah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).</w:t>
      </w:r>
    </w:p>
    <w:p w14:paraId="5BBF40F8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Perhatikanlah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sungguh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aneh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jika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sekelompok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ummat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Islam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sangat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bersemangat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menegakkan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syariat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berjihad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memerangi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orang kafir,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namun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mereka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memiliki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perhatian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serius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terhadap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uluhiyyah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.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Padahal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tujuan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ditegakkan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syariat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jihad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untuk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ditegakkan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uluhiyyah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.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Mereka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memerangi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orang kafir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karena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orang kafir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tersebut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uluhiyyah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sedangkan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mereka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sendiri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perhatian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terhadap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uluhiyyah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??</w:t>
      </w:r>
    </w:p>
    <w:p w14:paraId="532C40A3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Sedangkan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b/>
          <w:bCs/>
          <w:i/>
          <w:iCs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b/>
          <w:bCs/>
          <w:i/>
          <w:iCs/>
          <w:sz w:val="26"/>
          <w:szCs w:val="26"/>
          <w:lang w:eastAsia="en-ID"/>
        </w:rPr>
        <w:t xml:space="preserve"> Al Asma’ was </w:t>
      </w:r>
      <w:proofErr w:type="spellStart"/>
      <w:r w:rsidRPr="00A92ED6">
        <w:rPr>
          <w:rFonts w:ascii="Helvetica" w:eastAsia="Times New Roman" w:hAnsi="Helvetica" w:cs="Helvetica"/>
          <w:b/>
          <w:bCs/>
          <w:i/>
          <w:iCs/>
          <w:sz w:val="26"/>
          <w:szCs w:val="26"/>
          <w:lang w:eastAsia="en-ID"/>
        </w:rPr>
        <w:t>Sifat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mentauhidkan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Ta’ala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dalam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penetapan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nama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sifat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yaitu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sesuai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dengan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lastRenderedPageBreak/>
        <w:t>Ia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tetapkan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bagi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diri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-Nya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dalam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 Qur’an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Hadits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Rasulullah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shallallahu’alaihi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wasallam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.</w:t>
      </w:r>
    </w:p>
    <w:p w14:paraId="63B87F2F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Cara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asma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wa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sifat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 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ialah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dengan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menetapkan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nama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sifat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sesuai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tetapkan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bagi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diriNya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menafikan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nama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sifat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nafikan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dari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diriNya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dengan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tanpa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tahrif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tanpa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ta’thil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 </w:t>
      </w: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tanpa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takyif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 </w:t>
      </w: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(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Lihat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Syarh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Tsalatsatil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Ushul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).</w:t>
      </w:r>
    </w:p>
    <w:p w14:paraId="37F42356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Allah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Ta’ala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berfirman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artinya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:</w:t>
      </w:r>
    </w:p>
    <w:p w14:paraId="2BFC7E59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Tahoma" w:eastAsia="Times New Roman" w:hAnsi="Tahoma" w:cs="Tahoma"/>
          <w:sz w:val="26"/>
          <w:szCs w:val="26"/>
          <w:rtl/>
          <w:lang w:eastAsia="en-ID"/>
        </w:rPr>
        <w:t>وَلِلَّهِ الْأَسْمَاءُ الْحُسْنَى فَادْعُوهُ بِهَا</w:t>
      </w:r>
    </w:p>
    <w:p w14:paraId="1087E996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“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Hanya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milik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nama-nama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husna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maka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memohonlah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kepada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-Nya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dengan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menyebut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nama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-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nama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-Nya</w:t>
      </w: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” (QS. Al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A’raf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: 180)</w:t>
      </w:r>
    </w:p>
    <w:p w14:paraId="4918DD62" w14:textId="77777777" w:rsidR="00A92ED6" w:rsidRPr="00A92ED6" w:rsidRDefault="00A92ED6" w:rsidP="00A92ED6">
      <w:pPr>
        <w:shd w:val="clear" w:color="auto" w:fill="EEEEEE"/>
        <w:spacing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b/>
          <w:bCs/>
          <w:i/>
          <w:iCs/>
          <w:sz w:val="26"/>
          <w:szCs w:val="26"/>
          <w:lang w:eastAsia="en-ID"/>
        </w:rPr>
        <w:t>Tahrif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memalingkan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makna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ayat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atau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hadits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tentang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nama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atau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sifat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dari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makna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zhahir-nya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menjadi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makna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lain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batil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.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Sebagai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misalnya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kata ‘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istiwa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’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artinya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‘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bersemayam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’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dipalingkan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menjadi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‘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menguasai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’.</w:t>
      </w:r>
    </w:p>
    <w:p w14:paraId="59F1D3CA" w14:textId="77777777" w:rsidR="00A92ED6" w:rsidRPr="00A92ED6" w:rsidRDefault="00A92ED6" w:rsidP="00A92ED6">
      <w:pPr>
        <w:shd w:val="clear" w:color="auto" w:fill="EEEEEE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b/>
          <w:bCs/>
          <w:i/>
          <w:iCs/>
          <w:sz w:val="26"/>
          <w:szCs w:val="26"/>
          <w:lang w:eastAsia="en-ID"/>
        </w:rPr>
        <w:t>Ta’thil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mengingkari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menolak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sebagian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sifat-sifat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Allah.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Sebagaimana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sebagian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orang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menolak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bahwa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berada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di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atas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langit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mereka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berkata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berada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di mana-mana.</w:t>
      </w:r>
    </w:p>
    <w:p w14:paraId="2D56C865" w14:textId="77777777" w:rsidR="00A92ED6" w:rsidRPr="00A92ED6" w:rsidRDefault="00A92ED6" w:rsidP="00A92ED6">
      <w:pPr>
        <w:shd w:val="clear" w:color="auto" w:fill="EEEEEE"/>
        <w:spacing w:before="100" w:before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b/>
          <w:bCs/>
          <w:i/>
          <w:iCs/>
          <w:sz w:val="26"/>
          <w:szCs w:val="26"/>
          <w:lang w:eastAsia="en-ID"/>
        </w:rPr>
        <w:t>Takyif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menggambarkan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hakikat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wujud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Allah.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Padahal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sama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sekali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serupa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dengan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makhluknya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sehingga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makhluk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mampu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menggambarkan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hakikat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wujudnya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.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Misalnya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sebagian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orang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berusaha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menggambarkan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bentuk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tangan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proofErr w:type="gram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Allah,bentuk</w:t>
      </w:r>
      <w:proofErr w:type="spellEnd"/>
      <w:proofErr w:type="gram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wajah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Allah, dan lain-lain.</w:t>
      </w:r>
    </w:p>
    <w:p w14:paraId="7552A6A0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Adapun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penyimpangan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lain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dalam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asma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wa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sifat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tasybih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dan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tafwidh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.</w:t>
      </w:r>
    </w:p>
    <w:p w14:paraId="7ECF4374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Tasybih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menyerupakan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sifat-sifat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dengan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sifat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makhluk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-Nya.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Padahal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berfirman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artinya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:</w:t>
      </w:r>
    </w:p>
    <w:p w14:paraId="705BB8BE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Tahoma" w:eastAsia="Times New Roman" w:hAnsi="Tahoma" w:cs="Tahoma"/>
          <w:sz w:val="26"/>
          <w:szCs w:val="26"/>
          <w:rtl/>
          <w:lang w:eastAsia="en-ID"/>
        </w:rPr>
        <w:t>لَيْسَ كَمِثْلِهِ شَيْءٌ وَهُوَ السَّمِيعُ الْبَصِيرُ</w:t>
      </w:r>
    </w:p>
    <w:p w14:paraId="09CB37C1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“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ada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sesuatupun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menyerupai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Allah.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Sesungguhnya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Dia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Maha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Mendengar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Lagi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Maha</w:t>
      </w:r>
      <w:proofErr w:type="spellEnd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Melihat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” (QS.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Asy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Syura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: 11)</w:t>
      </w:r>
    </w:p>
    <w:p w14:paraId="54269BC9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Kemudian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tafwidh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yaitu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menolak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nama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atau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sifat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namun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enggan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menetapkan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maknanya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.</w:t>
      </w:r>
    </w:p>
    <w:p w14:paraId="68336275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Misalnya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sebagian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orang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berkata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‘Allah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Ta’ala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memang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ber-istiwa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di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atas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‘Arsy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namun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kita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tahu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maknanya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.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Makna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istiwa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kita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serahkan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kepada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Allah’.</w:t>
      </w:r>
    </w:p>
    <w:p w14:paraId="165506B0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lastRenderedPageBreak/>
        <w:t>Pemahaman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ini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benar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karena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Ta’ala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telah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mengabarkan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sifat-sifatNya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dalam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Qur’an dan Sunnah agar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hamba-hambaNya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mengetahui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. Dan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telah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mengabarkannya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dengan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bahasa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Arab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jelas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dipahami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.</w:t>
      </w:r>
    </w:p>
    <w:p w14:paraId="56EE3BCB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jika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kita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berpemahaman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tafwidh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sama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dengan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menganggap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perbuatan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mengabarkan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sifat-sifatNya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dalam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 Qur’an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adalah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sia-sia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karena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dapat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dipahami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oleh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hamba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-Nya.</w:t>
      </w:r>
    </w:p>
    <w:p w14:paraId="0C78BAE2" w14:textId="77777777" w:rsidR="00A92ED6" w:rsidRPr="00A92ED6" w:rsidRDefault="00A92ED6" w:rsidP="00A92ED6">
      <w:pPr>
        <w:shd w:val="clear" w:color="auto" w:fill="FFFFFF"/>
        <w:spacing w:before="199" w:after="199" w:line="240" w:lineRule="auto"/>
        <w:outlineLvl w:val="1"/>
        <w:rPr>
          <w:rFonts w:ascii="Helvetica" w:eastAsia="Times New Roman" w:hAnsi="Helvetica" w:cs="Helvetica"/>
          <w:sz w:val="43"/>
          <w:szCs w:val="43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b/>
          <w:bCs/>
          <w:sz w:val="43"/>
          <w:szCs w:val="43"/>
          <w:lang w:eastAsia="en-ID"/>
        </w:rPr>
        <w:t>Pentingnya</w:t>
      </w:r>
      <w:proofErr w:type="spellEnd"/>
      <w:r w:rsidRPr="00A92ED6">
        <w:rPr>
          <w:rFonts w:ascii="Helvetica" w:eastAsia="Times New Roman" w:hAnsi="Helvetica" w:cs="Helvetica"/>
          <w:b/>
          <w:bCs/>
          <w:sz w:val="43"/>
          <w:szCs w:val="43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b/>
          <w:bCs/>
          <w:sz w:val="43"/>
          <w:szCs w:val="43"/>
          <w:lang w:eastAsia="en-ID"/>
        </w:rPr>
        <w:t>mempelajari</w:t>
      </w:r>
      <w:proofErr w:type="spellEnd"/>
      <w:r w:rsidRPr="00A92ED6">
        <w:rPr>
          <w:rFonts w:ascii="Helvetica" w:eastAsia="Times New Roman" w:hAnsi="Helvetica" w:cs="Helvetica"/>
          <w:b/>
          <w:bCs/>
          <w:sz w:val="43"/>
          <w:szCs w:val="43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b/>
          <w:bCs/>
          <w:sz w:val="43"/>
          <w:szCs w:val="43"/>
          <w:lang w:eastAsia="en-ID"/>
        </w:rPr>
        <w:t>tauhid</w:t>
      </w:r>
      <w:proofErr w:type="spellEnd"/>
    </w:p>
    <w:p w14:paraId="0EA6254E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Banyak orang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mengaku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Islam.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Namun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jika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kita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tanyakan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kepada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mereka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apa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makna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bagaimana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benar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sedikit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sekali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orang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dapat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menjawabnya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.</w:t>
      </w:r>
    </w:p>
    <w:p w14:paraId="16F1D377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Sungguh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ironis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melihat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realita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orang-orang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mengidolakan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artis-artis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atau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pemain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sepakbola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saja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begitu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hafal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dengan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nama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hobi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alamat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sifat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bahkan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keadaan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mereka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sehari-hari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.</w:t>
      </w:r>
    </w:p>
    <w:p w14:paraId="564A4390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Di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sisi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lain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seseorang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mengaku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menyembah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namun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mengenal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disembahnya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.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tahu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bagaimana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sifat-sifat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tahu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nama-nama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mengetahui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apa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hak-hak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wajib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dipenuhinya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.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akibatnya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tidak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mentauhidkan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dengan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benar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terjerumus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dalam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perbuatan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syirik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. </w:t>
      </w:r>
      <w:proofErr w:type="spellStart"/>
      <w:r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Wal’iyydzubillah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.</w:t>
      </w:r>
    </w:p>
    <w:p w14:paraId="7A0EC227" w14:textId="77777777" w:rsidR="00A92ED6" w:rsidRPr="00A92ED6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Maka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sangat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penting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dan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urgen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bagi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setiap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muslim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mempelajari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benar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bahkan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inilah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ilmu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paling </w:t>
      </w:r>
      <w:proofErr w:type="spellStart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utama</w:t>
      </w:r>
      <w:proofErr w:type="spellEnd"/>
      <w:r w:rsidRPr="00A92ED6">
        <w:rPr>
          <w:rFonts w:ascii="Helvetica" w:eastAsia="Times New Roman" w:hAnsi="Helvetica" w:cs="Helvetica"/>
          <w:sz w:val="26"/>
          <w:szCs w:val="26"/>
          <w:lang w:eastAsia="en-ID"/>
        </w:rPr>
        <w:t>.</w:t>
      </w:r>
    </w:p>
    <w:p w14:paraId="233B4004" w14:textId="77777777" w:rsidR="00A92ED6" w:rsidRPr="00A92ED6" w:rsidRDefault="00167EB3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en-ID"/>
        </w:rPr>
      </w:pPr>
      <w:hyperlink r:id="rId7" w:tgtFrame="_blank" w:history="1">
        <w:proofErr w:type="spellStart"/>
        <w:r w:rsidR="00A92ED6" w:rsidRPr="00A92ED6">
          <w:rPr>
            <w:rFonts w:ascii="Helvetica" w:eastAsia="Times New Roman" w:hAnsi="Helvetica" w:cs="Helvetica"/>
            <w:sz w:val="26"/>
            <w:szCs w:val="26"/>
            <w:lang w:eastAsia="en-ID"/>
          </w:rPr>
          <w:t>Syaikh</w:t>
        </w:r>
        <w:proofErr w:type="spellEnd"/>
        <w:r w:rsidR="00A92ED6" w:rsidRPr="00A92ED6">
          <w:rPr>
            <w:rFonts w:ascii="Helvetica" w:eastAsia="Times New Roman" w:hAnsi="Helvetica" w:cs="Helvetica"/>
            <w:sz w:val="26"/>
            <w:szCs w:val="26"/>
            <w:lang w:eastAsia="en-ID"/>
          </w:rPr>
          <w:t xml:space="preserve"> Muhammad bin </w:t>
        </w:r>
        <w:proofErr w:type="spellStart"/>
        <w:r w:rsidR="00A92ED6" w:rsidRPr="00A92ED6">
          <w:rPr>
            <w:rFonts w:ascii="Helvetica" w:eastAsia="Times New Roman" w:hAnsi="Helvetica" w:cs="Helvetica"/>
            <w:sz w:val="26"/>
            <w:szCs w:val="26"/>
            <w:lang w:eastAsia="en-ID"/>
          </w:rPr>
          <w:t>Shalih</w:t>
        </w:r>
        <w:proofErr w:type="spellEnd"/>
        <w:r w:rsidR="00A92ED6" w:rsidRPr="00A92ED6">
          <w:rPr>
            <w:rFonts w:ascii="Helvetica" w:eastAsia="Times New Roman" w:hAnsi="Helvetica" w:cs="Helvetica"/>
            <w:sz w:val="26"/>
            <w:szCs w:val="26"/>
            <w:lang w:eastAsia="en-ID"/>
          </w:rPr>
          <w:t xml:space="preserve"> Al </w:t>
        </w:r>
        <w:proofErr w:type="spellStart"/>
        <w:r w:rsidR="00A92ED6" w:rsidRPr="00A92ED6">
          <w:rPr>
            <w:rFonts w:ascii="Helvetica" w:eastAsia="Times New Roman" w:hAnsi="Helvetica" w:cs="Helvetica"/>
            <w:sz w:val="26"/>
            <w:szCs w:val="26"/>
            <w:lang w:eastAsia="en-ID"/>
          </w:rPr>
          <w:t>Utsaimin</w:t>
        </w:r>
        <w:proofErr w:type="spellEnd"/>
      </w:hyperlink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 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berkata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: “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Sesungguhnya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ilmu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tauhid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adalah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ilmu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yang paling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mulia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dan paling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agung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kedudukannya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.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Setiap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muslim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wajib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mempelajari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mengetahui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dan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memahami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ilmu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tersebut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karena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merupakan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ilmu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tentang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Allah </w:t>
      </w:r>
      <w:proofErr w:type="spellStart"/>
      <w:r w:rsidR="00A92ED6"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Subhanahu</w:t>
      </w:r>
      <w:proofErr w:type="spellEnd"/>
      <w:r w:rsidR="00A92ED6"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wa</w:t>
      </w:r>
      <w:proofErr w:type="spellEnd"/>
      <w:r w:rsidR="00A92ED6"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Ta’ala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,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tentang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nama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-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nama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-Nya,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sifat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-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sifat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-Nya, dan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hak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-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hak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-Nya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atas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hamba</w:t>
      </w:r>
      <w:proofErr w:type="spellEnd"/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-Nya” (</w:t>
      </w:r>
      <w:proofErr w:type="spellStart"/>
      <w:r w:rsidR="00A92ED6"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Syarh</w:t>
      </w:r>
      <w:proofErr w:type="spellEnd"/>
      <w:r w:rsidR="00A92ED6"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</w:t>
      </w:r>
      <w:proofErr w:type="spellStart"/>
      <w:r w:rsidR="00A92ED6"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>Ushulil</w:t>
      </w:r>
      <w:proofErr w:type="spellEnd"/>
      <w:r w:rsidR="00A92ED6" w:rsidRPr="00A92ED6">
        <w:rPr>
          <w:rFonts w:ascii="Helvetica" w:eastAsia="Times New Roman" w:hAnsi="Helvetica" w:cs="Helvetica"/>
          <w:i/>
          <w:iCs/>
          <w:sz w:val="26"/>
          <w:szCs w:val="26"/>
          <w:lang w:eastAsia="en-ID"/>
        </w:rPr>
        <w:t xml:space="preserve"> Iman, </w:t>
      </w:r>
      <w:r w:rsidR="00A92ED6" w:rsidRPr="00A92ED6">
        <w:rPr>
          <w:rFonts w:ascii="Helvetica" w:eastAsia="Times New Roman" w:hAnsi="Helvetica" w:cs="Helvetica"/>
          <w:sz w:val="26"/>
          <w:szCs w:val="26"/>
          <w:lang w:eastAsia="en-ID"/>
        </w:rPr>
        <w:t>4).</w:t>
      </w:r>
    </w:p>
    <w:p w14:paraId="33139805" w14:textId="40DB7369" w:rsidR="00A92ED6" w:rsidRPr="00A92ED6" w:rsidRDefault="00A92ED6" w:rsidP="00A92ED6">
      <w:r w:rsidRPr="00A92ED6">
        <w:rPr>
          <w:rFonts w:ascii="Helvetica" w:eastAsia="Times New Roman" w:hAnsi="Helvetica" w:cs="Helvetica"/>
          <w:sz w:val="26"/>
          <w:szCs w:val="26"/>
          <w:shd w:val="clear" w:color="auto" w:fill="FFFFFF"/>
          <w:lang w:eastAsia="en-ID"/>
        </w:rPr>
        <w:br/>
      </w:r>
      <w:r w:rsidRPr="00A92ED6">
        <w:rPr>
          <w:rFonts w:ascii="Helvetica" w:eastAsia="Times New Roman" w:hAnsi="Helvetica" w:cs="Helvetica"/>
          <w:sz w:val="26"/>
          <w:szCs w:val="26"/>
          <w:shd w:val="clear" w:color="auto" w:fill="FFFFFF"/>
          <w:lang w:eastAsia="en-ID"/>
        </w:rPr>
        <w:br/>
      </w:r>
    </w:p>
    <w:sectPr w:rsidR="00A92ED6" w:rsidRPr="00A92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4E253" w14:textId="77777777" w:rsidR="00167EB3" w:rsidRDefault="00167EB3" w:rsidP="007D27EE">
      <w:pPr>
        <w:spacing w:after="0" w:line="240" w:lineRule="auto"/>
      </w:pPr>
      <w:r>
        <w:separator/>
      </w:r>
    </w:p>
  </w:endnote>
  <w:endnote w:type="continuationSeparator" w:id="0">
    <w:p w14:paraId="1909DB04" w14:textId="77777777" w:rsidR="00167EB3" w:rsidRDefault="00167EB3" w:rsidP="007D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AFE3E" w14:textId="77777777" w:rsidR="007D27EE" w:rsidRDefault="007D2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AC2E1" w14:textId="77777777" w:rsidR="007D27EE" w:rsidRDefault="007D2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40A9E" w14:textId="77777777" w:rsidR="007D27EE" w:rsidRDefault="007D2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779EC" w14:textId="77777777" w:rsidR="00167EB3" w:rsidRDefault="00167EB3" w:rsidP="007D27EE">
      <w:pPr>
        <w:spacing w:after="0" w:line="240" w:lineRule="auto"/>
      </w:pPr>
      <w:r>
        <w:separator/>
      </w:r>
    </w:p>
  </w:footnote>
  <w:footnote w:type="continuationSeparator" w:id="0">
    <w:p w14:paraId="57AA368D" w14:textId="77777777" w:rsidR="00167EB3" w:rsidRDefault="00167EB3" w:rsidP="007D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2528A" w14:textId="77777777" w:rsidR="007D27EE" w:rsidRDefault="007D2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19CCA" w14:textId="77777777" w:rsidR="007D27EE" w:rsidRDefault="007D27EE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6D64C" w14:textId="77777777" w:rsidR="007D27EE" w:rsidRDefault="007D27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D6"/>
    <w:rsid w:val="00167EB3"/>
    <w:rsid w:val="007D27EE"/>
    <w:rsid w:val="00A9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3B76"/>
  <w15:chartTrackingRefBased/>
  <w15:docId w15:val="{02319634-30EA-4648-A3A9-D8410EA1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2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2ED6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A9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Emphasis">
    <w:name w:val="Emphasis"/>
    <w:basedOn w:val="DefaultParagraphFont"/>
    <w:uiPriority w:val="20"/>
    <w:qFormat/>
    <w:rsid w:val="00A92ED6"/>
    <w:rPr>
      <w:i/>
      <w:iCs/>
    </w:rPr>
  </w:style>
  <w:style w:type="character" w:customStyle="1" w:styleId="lwptoctoggle">
    <w:name w:val="lwptoc_toggle"/>
    <w:basedOn w:val="DefaultParagraphFont"/>
    <w:rsid w:val="00A92ED6"/>
  </w:style>
  <w:style w:type="character" w:styleId="Hyperlink">
    <w:name w:val="Hyperlink"/>
    <w:basedOn w:val="DefaultParagraphFont"/>
    <w:uiPriority w:val="99"/>
    <w:semiHidden/>
    <w:unhideWhenUsed/>
    <w:rsid w:val="00A92ED6"/>
    <w:rPr>
      <w:color w:val="0000FF"/>
      <w:u w:val="single"/>
    </w:rPr>
  </w:style>
  <w:style w:type="character" w:customStyle="1" w:styleId="lwptocitemnumber">
    <w:name w:val="lwptoc_item_number"/>
    <w:basedOn w:val="DefaultParagraphFont"/>
    <w:rsid w:val="00A92ED6"/>
  </w:style>
  <w:style w:type="character" w:customStyle="1" w:styleId="lwptocitemlabel">
    <w:name w:val="lwptoc_item_label"/>
    <w:basedOn w:val="DefaultParagraphFont"/>
    <w:rsid w:val="00A92ED6"/>
  </w:style>
  <w:style w:type="character" w:styleId="Strong">
    <w:name w:val="Strong"/>
    <w:basedOn w:val="DefaultParagraphFont"/>
    <w:uiPriority w:val="22"/>
    <w:qFormat/>
    <w:rsid w:val="00A92ED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D2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7EE"/>
  </w:style>
  <w:style w:type="paragraph" w:styleId="Footer">
    <w:name w:val="footer"/>
    <w:basedOn w:val="Normal"/>
    <w:link w:val="FooterChar"/>
    <w:uiPriority w:val="99"/>
    <w:unhideWhenUsed/>
    <w:rsid w:val="007D2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26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596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77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705103">
          <w:marLeft w:val="0"/>
          <w:marRight w:val="0"/>
          <w:marTop w:val="0"/>
          <w:marBottom w:val="36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4951531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1176769199">
          <w:blockQuote w:val="1"/>
          <w:marLeft w:val="225"/>
          <w:marRight w:val="225"/>
          <w:marTop w:val="450"/>
          <w:marBottom w:val="450"/>
          <w:divBdr>
            <w:top w:val="single" w:sz="2" w:space="15" w:color="2CA5D2"/>
            <w:left w:val="single" w:sz="36" w:space="23" w:color="2CA5D2"/>
            <w:bottom w:val="single" w:sz="2" w:space="15" w:color="2CA5D2"/>
            <w:right w:val="single" w:sz="2" w:space="23" w:color="2CA5D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muslim.or.id/53-biografi-ringkas-syaikh-muhammad-bin-sholih-al-utsaimin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slim.or.id/9338-biografi-syaikh-dr-shalih-bin-fauzan-al-fauzan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2022-03-20T03:39:00Z</dcterms:created>
  <dcterms:modified xsi:type="dcterms:W3CDTF">2022-03-20T03:46:00Z</dcterms:modified>
</cp:coreProperties>
</file>