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77" w:rsidRDefault="002F1177" w:rsidP="002F1177">
      <w:pPr>
        <w:spacing w:line="260" w:lineRule="exact"/>
        <w:ind w:left="-1"/>
        <w:rPr>
          <w:rFonts w:ascii="Arial Narrow" w:eastAsia="Times New Roman" w:hAnsi="Arial Narrow" w:cs="Times New Roman"/>
          <w:b/>
          <w:spacing w:val="1"/>
          <w:sz w:val="32"/>
          <w:szCs w:val="32"/>
        </w:rPr>
      </w:pPr>
    </w:p>
    <w:p w:rsidR="002F1177" w:rsidRPr="002F1177" w:rsidRDefault="002F1177" w:rsidP="002F1177">
      <w:pPr>
        <w:spacing w:line="260" w:lineRule="exact"/>
        <w:ind w:left="-1"/>
        <w:jc w:val="center"/>
        <w:rPr>
          <w:rFonts w:ascii="Arial Narrow" w:hAnsi="Arial Narrow"/>
          <w:sz w:val="32"/>
          <w:szCs w:val="32"/>
        </w:rPr>
      </w:pPr>
      <w:r w:rsidRPr="002F1177">
        <w:rPr>
          <w:rFonts w:ascii="Arial Narrow" w:eastAsia="Times New Roman" w:hAnsi="Arial Narrow" w:cs="Times New Roman"/>
          <w:b/>
          <w:spacing w:val="1"/>
          <w:sz w:val="32"/>
          <w:szCs w:val="32"/>
        </w:rPr>
        <w:t>7. PR</w:t>
      </w:r>
      <w:r w:rsidRPr="002F1177">
        <w:rPr>
          <w:rFonts w:ascii="Arial Narrow" w:eastAsia="Times New Roman" w:hAnsi="Arial Narrow" w:cs="Times New Roman"/>
          <w:b/>
          <w:spacing w:val="-4"/>
          <w:sz w:val="32"/>
          <w:szCs w:val="32"/>
        </w:rPr>
        <w:t>O</w:t>
      </w:r>
      <w:r w:rsidRPr="002F1177">
        <w:rPr>
          <w:rFonts w:ascii="Arial Narrow" w:eastAsia="Times New Roman" w:hAnsi="Arial Narrow" w:cs="Times New Roman"/>
          <w:b/>
          <w:spacing w:val="-1"/>
          <w:sz w:val="32"/>
          <w:szCs w:val="32"/>
        </w:rPr>
        <w:t>S</w:t>
      </w:r>
      <w:r w:rsidRPr="002F1177">
        <w:rPr>
          <w:rFonts w:ascii="Arial Narrow" w:eastAsia="Times New Roman" w:hAnsi="Arial Narrow" w:cs="Times New Roman"/>
          <w:b/>
          <w:spacing w:val="5"/>
          <w:sz w:val="32"/>
          <w:szCs w:val="32"/>
        </w:rPr>
        <w:t>E</w:t>
      </w:r>
      <w:r w:rsidRPr="002F1177">
        <w:rPr>
          <w:rFonts w:ascii="Arial Narrow" w:eastAsia="Times New Roman" w:hAnsi="Arial Narrow" w:cs="Times New Roman"/>
          <w:b/>
          <w:spacing w:val="-6"/>
          <w:sz w:val="32"/>
          <w:szCs w:val="32"/>
        </w:rPr>
        <w:t>D</w:t>
      </w:r>
      <w:r w:rsidRPr="002F1177">
        <w:rPr>
          <w:rFonts w:ascii="Arial Narrow" w:eastAsia="Times New Roman" w:hAnsi="Arial Narrow" w:cs="Times New Roman"/>
          <w:b/>
          <w:spacing w:val="-1"/>
          <w:sz w:val="32"/>
          <w:szCs w:val="32"/>
        </w:rPr>
        <w:t>U</w:t>
      </w:r>
      <w:r w:rsidRPr="002F1177">
        <w:rPr>
          <w:rFonts w:ascii="Arial Narrow" w:eastAsia="Times New Roman" w:hAnsi="Arial Narrow" w:cs="Times New Roman"/>
          <w:b/>
          <w:sz w:val="32"/>
          <w:szCs w:val="32"/>
        </w:rPr>
        <w:t>R</w:t>
      </w:r>
      <w:r w:rsidRPr="002F1177">
        <w:rPr>
          <w:rFonts w:ascii="Arial Narrow" w:eastAsia="Times New Roman" w:hAnsi="Arial Narrow" w:cs="Times New Roman"/>
          <w:b/>
          <w:spacing w:val="5"/>
          <w:sz w:val="32"/>
          <w:szCs w:val="32"/>
        </w:rPr>
        <w:t xml:space="preserve"> </w:t>
      </w:r>
      <w:r w:rsidRPr="002F1177">
        <w:rPr>
          <w:rFonts w:ascii="Arial Narrow" w:eastAsia="Times New Roman" w:hAnsi="Arial Narrow" w:cs="Times New Roman"/>
          <w:b/>
          <w:spacing w:val="-6"/>
          <w:sz w:val="32"/>
          <w:szCs w:val="32"/>
        </w:rPr>
        <w:t>D</w:t>
      </w:r>
      <w:r w:rsidRPr="002F1177">
        <w:rPr>
          <w:rFonts w:ascii="Arial Narrow" w:eastAsia="Times New Roman" w:hAnsi="Arial Narrow" w:cs="Times New Roman"/>
          <w:b/>
          <w:sz w:val="32"/>
          <w:szCs w:val="32"/>
        </w:rPr>
        <w:t>AN</w:t>
      </w:r>
      <w:r w:rsidRPr="002F1177">
        <w:rPr>
          <w:rFonts w:ascii="Arial Narrow" w:eastAsia="Times New Roman" w:hAnsi="Arial Narrow" w:cs="Times New Roman"/>
          <w:b/>
          <w:spacing w:val="2"/>
          <w:sz w:val="32"/>
          <w:szCs w:val="32"/>
        </w:rPr>
        <w:t xml:space="preserve"> </w:t>
      </w:r>
      <w:r w:rsidRPr="002F1177">
        <w:rPr>
          <w:rFonts w:ascii="Arial Narrow" w:eastAsia="Times New Roman" w:hAnsi="Arial Narrow" w:cs="Times New Roman"/>
          <w:b/>
          <w:spacing w:val="-3"/>
          <w:sz w:val="32"/>
          <w:szCs w:val="32"/>
        </w:rPr>
        <w:t>K</w:t>
      </w:r>
      <w:r w:rsidRPr="002F1177">
        <w:rPr>
          <w:rFonts w:ascii="Arial Narrow" w:eastAsia="Times New Roman" w:hAnsi="Arial Narrow" w:cs="Times New Roman"/>
          <w:b/>
          <w:spacing w:val="5"/>
          <w:sz w:val="32"/>
          <w:szCs w:val="32"/>
        </w:rPr>
        <w:t>E</w:t>
      </w:r>
      <w:r w:rsidRPr="002F1177">
        <w:rPr>
          <w:rFonts w:ascii="Arial Narrow" w:eastAsia="Times New Roman" w:hAnsi="Arial Narrow" w:cs="Times New Roman"/>
          <w:b/>
          <w:spacing w:val="-6"/>
          <w:sz w:val="32"/>
          <w:szCs w:val="32"/>
        </w:rPr>
        <w:t>B</w:t>
      </w:r>
      <w:r w:rsidRPr="002F1177">
        <w:rPr>
          <w:rFonts w:ascii="Arial Narrow" w:eastAsia="Times New Roman" w:hAnsi="Arial Narrow" w:cs="Times New Roman"/>
          <w:b/>
          <w:spacing w:val="1"/>
          <w:sz w:val="32"/>
          <w:szCs w:val="32"/>
        </w:rPr>
        <w:t>I</w:t>
      </w:r>
      <w:r w:rsidRPr="002F1177">
        <w:rPr>
          <w:rFonts w:ascii="Arial Narrow" w:eastAsia="Times New Roman" w:hAnsi="Arial Narrow" w:cs="Times New Roman"/>
          <w:b/>
          <w:sz w:val="32"/>
          <w:szCs w:val="32"/>
        </w:rPr>
        <w:t>J</w:t>
      </w:r>
      <w:r w:rsidRPr="002F1177">
        <w:rPr>
          <w:rFonts w:ascii="Arial Narrow" w:eastAsia="Times New Roman" w:hAnsi="Arial Narrow" w:cs="Times New Roman"/>
          <w:b/>
          <w:spacing w:val="4"/>
          <w:sz w:val="32"/>
          <w:szCs w:val="32"/>
        </w:rPr>
        <w:t>A</w:t>
      </w:r>
      <w:r w:rsidRPr="002F1177">
        <w:rPr>
          <w:rFonts w:ascii="Arial Narrow" w:eastAsia="Times New Roman" w:hAnsi="Arial Narrow" w:cs="Times New Roman"/>
          <w:b/>
          <w:spacing w:val="-6"/>
          <w:sz w:val="32"/>
          <w:szCs w:val="32"/>
        </w:rPr>
        <w:t>K</w:t>
      </w:r>
      <w:r w:rsidRPr="002F1177">
        <w:rPr>
          <w:rFonts w:ascii="Arial Narrow" w:eastAsia="Times New Roman" w:hAnsi="Arial Narrow" w:cs="Times New Roman"/>
          <w:b/>
          <w:sz w:val="32"/>
          <w:szCs w:val="32"/>
        </w:rPr>
        <w:t xml:space="preserve">AN </w:t>
      </w:r>
      <w:r w:rsidRPr="002F1177">
        <w:rPr>
          <w:rFonts w:ascii="Arial Narrow" w:eastAsia="Times New Roman" w:hAnsi="Arial Narrow" w:cs="Times New Roman"/>
          <w:b/>
          <w:spacing w:val="1"/>
          <w:sz w:val="32"/>
          <w:szCs w:val="32"/>
        </w:rPr>
        <w:t>PER</w:t>
      </w:r>
      <w:r w:rsidRPr="002F1177">
        <w:rPr>
          <w:rFonts w:ascii="Arial Narrow" w:eastAsia="Times New Roman" w:hAnsi="Arial Narrow" w:cs="Times New Roman"/>
          <w:b/>
          <w:spacing w:val="-6"/>
          <w:sz w:val="32"/>
          <w:szCs w:val="32"/>
        </w:rPr>
        <w:t>D</w:t>
      </w:r>
      <w:r w:rsidRPr="002F1177">
        <w:rPr>
          <w:rFonts w:ascii="Arial Narrow" w:eastAsia="Times New Roman" w:hAnsi="Arial Narrow" w:cs="Times New Roman"/>
          <w:b/>
          <w:sz w:val="32"/>
          <w:szCs w:val="32"/>
        </w:rPr>
        <w:t>AGA</w:t>
      </w:r>
      <w:r w:rsidRPr="002F1177">
        <w:rPr>
          <w:rFonts w:ascii="Arial Narrow" w:eastAsia="Times New Roman" w:hAnsi="Arial Narrow" w:cs="Times New Roman"/>
          <w:b/>
          <w:spacing w:val="-1"/>
          <w:sz w:val="32"/>
          <w:szCs w:val="32"/>
        </w:rPr>
        <w:t>N</w:t>
      </w:r>
      <w:r w:rsidRPr="002F1177">
        <w:rPr>
          <w:rFonts w:ascii="Arial Narrow" w:eastAsia="Times New Roman" w:hAnsi="Arial Narrow" w:cs="Times New Roman"/>
          <w:b/>
          <w:sz w:val="32"/>
          <w:szCs w:val="32"/>
        </w:rPr>
        <w:t>GAN</w:t>
      </w:r>
      <w:r w:rsidRPr="002F1177">
        <w:rPr>
          <w:rFonts w:ascii="Arial Narrow" w:eastAsia="Times New Roman" w:hAnsi="Arial Narrow" w:cs="Times New Roman"/>
          <w:b/>
          <w:spacing w:val="-1"/>
          <w:sz w:val="32"/>
          <w:szCs w:val="32"/>
        </w:rPr>
        <w:t xml:space="preserve"> </w:t>
      </w:r>
      <w:r w:rsidRPr="002F1177">
        <w:rPr>
          <w:rFonts w:ascii="Arial Narrow" w:eastAsia="Times New Roman" w:hAnsi="Arial Narrow" w:cs="Times New Roman"/>
          <w:b/>
          <w:sz w:val="32"/>
          <w:szCs w:val="32"/>
        </w:rPr>
        <w:t>L</w:t>
      </w:r>
      <w:r w:rsidRPr="002F1177">
        <w:rPr>
          <w:rFonts w:ascii="Arial Narrow" w:eastAsia="Times New Roman" w:hAnsi="Arial Narrow" w:cs="Times New Roman"/>
          <w:b/>
          <w:spacing w:val="-1"/>
          <w:sz w:val="32"/>
          <w:szCs w:val="32"/>
        </w:rPr>
        <w:t>U</w:t>
      </w:r>
      <w:r w:rsidRPr="002F1177">
        <w:rPr>
          <w:rFonts w:ascii="Arial Narrow" w:eastAsia="Times New Roman" w:hAnsi="Arial Narrow" w:cs="Times New Roman"/>
          <w:b/>
          <w:sz w:val="32"/>
          <w:szCs w:val="32"/>
        </w:rPr>
        <w:t>AR</w:t>
      </w:r>
      <w:r w:rsidRPr="002F1177">
        <w:rPr>
          <w:rFonts w:ascii="Arial Narrow" w:eastAsia="Times New Roman" w:hAnsi="Arial Narrow" w:cs="Times New Roman"/>
          <w:b/>
          <w:spacing w:val="1"/>
          <w:sz w:val="32"/>
          <w:szCs w:val="32"/>
        </w:rPr>
        <w:t xml:space="preserve"> </w:t>
      </w:r>
      <w:r w:rsidRPr="002F1177">
        <w:rPr>
          <w:rFonts w:ascii="Arial Narrow" w:eastAsia="Times New Roman" w:hAnsi="Arial Narrow" w:cs="Times New Roman"/>
          <w:b/>
          <w:spacing w:val="-1"/>
          <w:sz w:val="32"/>
          <w:szCs w:val="32"/>
        </w:rPr>
        <w:t>N</w:t>
      </w:r>
      <w:r w:rsidRPr="002F1177">
        <w:rPr>
          <w:rFonts w:ascii="Arial Narrow" w:eastAsia="Times New Roman" w:hAnsi="Arial Narrow" w:cs="Times New Roman"/>
          <w:b/>
          <w:spacing w:val="1"/>
          <w:sz w:val="32"/>
          <w:szCs w:val="32"/>
        </w:rPr>
        <w:t>E</w:t>
      </w:r>
      <w:r w:rsidRPr="002F1177">
        <w:rPr>
          <w:rFonts w:ascii="Arial Narrow" w:eastAsia="Times New Roman" w:hAnsi="Arial Narrow" w:cs="Times New Roman"/>
          <w:b/>
          <w:sz w:val="32"/>
          <w:szCs w:val="32"/>
        </w:rPr>
        <w:t>G</w:t>
      </w:r>
      <w:r w:rsidRPr="002F1177">
        <w:rPr>
          <w:rFonts w:ascii="Arial Narrow" w:eastAsia="Times New Roman" w:hAnsi="Arial Narrow" w:cs="Times New Roman"/>
          <w:b/>
          <w:spacing w:val="1"/>
          <w:sz w:val="32"/>
          <w:szCs w:val="32"/>
        </w:rPr>
        <w:t>R</w:t>
      </w:r>
      <w:r w:rsidRPr="002F1177">
        <w:rPr>
          <w:rFonts w:ascii="Arial Narrow" w:eastAsia="Times New Roman" w:hAnsi="Arial Narrow" w:cs="Times New Roman"/>
          <w:b/>
          <w:sz w:val="32"/>
          <w:szCs w:val="32"/>
        </w:rPr>
        <w:t>I</w:t>
      </w:r>
    </w:p>
    <w:p w:rsidR="002F1177" w:rsidRDefault="002F1177" w:rsidP="00067299">
      <w:pPr>
        <w:spacing w:after="120" w:line="240" w:lineRule="auto"/>
        <w:ind w:left="450" w:hanging="450"/>
        <w:jc w:val="both"/>
        <w:rPr>
          <w:rFonts w:ascii="Arial Narrow" w:hAnsi="Arial Narrow"/>
          <w:b/>
          <w:sz w:val="32"/>
          <w:szCs w:val="32"/>
        </w:rPr>
      </w:pPr>
    </w:p>
    <w:p w:rsidR="00067299" w:rsidRPr="002F1177" w:rsidRDefault="00067299"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Apa itu Kebijakan Perdagangan Internasional?</w:t>
      </w:r>
    </w:p>
    <w:p w:rsidR="00067299" w:rsidRPr="00067299" w:rsidRDefault="00067299" w:rsidP="00067299">
      <w:pPr>
        <w:tabs>
          <w:tab w:val="left" w:pos="0"/>
        </w:tabs>
        <w:spacing w:after="120" w:line="240" w:lineRule="auto"/>
        <w:jc w:val="both"/>
        <w:rPr>
          <w:rFonts w:ascii="Arial Narrow" w:hAnsi="Arial Narrow"/>
          <w:sz w:val="32"/>
          <w:szCs w:val="32"/>
        </w:rPr>
      </w:pPr>
      <w:r w:rsidRPr="00067299">
        <w:rPr>
          <w:rFonts w:ascii="Arial Narrow" w:hAnsi="Arial Narrow"/>
          <w:sz w:val="32"/>
          <w:szCs w:val="32"/>
        </w:rPr>
        <w:t>Kebijakan perdagangan internasional ad</w:t>
      </w:r>
      <w:r>
        <w:rPr>
          <w:rFonts w:ascii="Arial Narrow" w:hAnsi="Arial Narrow"/>
          <w:sz w:val="32"/>
          <w:szCs w:val="32"/>
        </w:rPr>
        <w:t xml:space="preserve">alah peraturan yang mengontrol, </w:t>
      </w:r>
      <w:r w:rsidRPr="00067299">
        <w:rPr>
          <w:rFonts w:ascii="Arial Narrow" w:hAnsi="Arial Narrow"/>
          <w:sz w:val="32"/>
          <w:szCs w:val="32"/>
        </w:rPr>
        <w:t>menjelaskan, dan memberikan koridor tentang cara suatu negara melakukan hubungan dagang dengan negara lain. Peraturan tersebut umumnya berupa perundang-undangan khusus atau instruksi pemerintah lainnya yang sepadan.</w:t>
      </w:r>
    </w:p>
    <w:p w:rsidR="00067299" w:rsidRPr="00067299" w:rsidRDefault="00067299" w:rsidP="00067299">
      <w:pPr>
        <w:tabs>
          <w:tab w:val="left" w:pos="0"/>
        </w:tabs>
        <w:spacing w:after="120" w:line="240" w:lineRule="auto"/>
        <w:jc w:val="both"/>
        <w:rPr>
          <w:rFonts w:ascii="Arial Narrow" w:hAnsi="Arial Narrow"/>
          <w:sz w:val="32"/>
          <w:szCs w:val="32"/>
        </w:rPr>
      </w:pPr>
      <w:r w:rsidRPr="00067299">
        <w:rPr>
          <w:rFonts w:ascii="Arial Narrow" w:hAnsi="Arial Narrow"/>
          <w:sz w:val="32"/>
          <w:szCs w:val="32"/>
        </w:rPr>
        <w:t>Kebijakan ini mengatur jumlah, jenis, serta jalur perdagangan dengan negara-negara yang berbeda di dunia. Setiap negara tentu memilki kebijakan dagang internasionalnya sendiri. Misalnya di Indonesia, secara umum kebijakan ini diatur oleh Kementerian  Perdagangan dan disahkan oleh Presiden.</w:t>
      </w:r>
    </w:p>
    <w:p w:rsidR="00067299" w:rsidRPr="00067299" w:rsidRDefault="00067299" w:rsidP="00067299">
      <w:pPr>
        <w:tabs>
          <w:tab w:val="left" w:pos="0"/>
        </w:tabs>
        <w:spacing w:after="120" w:line="240" w:lineRule="auto"/>
        <w:jc w:val="both"/>
        <w:rPr>
          <w:rFonts w:ascii="Arial Narrow" w:hAnsi="Arial Narrow"/>
          <w:sz w:val="32"/>
          <w:szCs w:val="32"/>
        </w:rPr>
      </w:pPr>
      <w:r w:rsidRPr="00067299">
        <w:rPr>
          <w:rFonts w:ascii="Arial Narrow" w:hAnsi="Arial Narrow"/>
          <w:sz w:val="32"/>
          <w:szCs w:val="32"/>
        </w:rPr>
        <w:t>Kebijakan perdagangan internasional juga dapat berarti peraturan dan tata cara perdagangan antar negara yang merujuk pada ketetapan yang disahkan oleh lembaga perdagangan internasional. Kedua lembaga tersebut adalah WTO (World Trade Organization) dan IMF (International Monetary Fund).</w:t>
      </w:r>
    </w:p>
    <w:p w:rsidR="00067299" w:rsidRPr="00067299" w:rsidRDefault="00067299" w:rsidP="00067299">
      <w:pPr>
        <w:spacing w:after="120" w:line="240" w:lineRule="auto"/>
        <w:ind w:left="450" w:hanging="450"/>
        <w:jc w:val="both"/>
        <w:rPr>
          <w:rFonts w:ascii="Arial Narrow" w:hAnsi="Arial Narrow"/>
          <w:b/>
          <w:sz w:val="32"/>
          <w:szCs w:val="32"/>
        </w:rPr>
      </w:pPr>
      <w:r w:rsidRPr="00067299">
        <w:rPr>
          <w:rFonts w:ascii="Arial Narrow" w:hAnsi="Arial Narrow"/>
          <w:b/>
          <w:sz w:val="32"/>
          <w:szCs w:val="32"/>
        </w:rPr>
        <w:t>Tujuan Kebijakan Perdagangan Internasional</w:t>
      </w:r>
    </w:p>
    <w:p w:rsidR="00067299" w:rsidRPr="00067299" w:rsidRDefault="00067299" w:rsidP="00067299">
      <w:pPr>
        <w:spacing w:after="120" w:line="240" w:lineRule="auto"/>
        <w:ind w:left="450" w:hanging="450"/>
        <w:jc w:val="both"/>
        <w:rPr>
          <w:rFonts w:ascii="Arial Narrow" w:hAnsi="Arial Narrow"/>
          <w:sz w:val="32"/>
          <w:szCs w:val="32"/>
        </w:rPr>
      </w:pPr>
      <w:r w:rsidRPr="00067299">
        <w:rPr>
          <w:rFonts w:ascii="Arial Narrow" w:hAnsi="Arial Narrow"/>
          <w:sz w:val="32"/>
          <w:szCs w:val="32"/>
        </w:rPr>
        <w:t>Tujuan Kebijakan Perdagangan Internasional</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Setelah mengetahui pengertiannya, mari memahami tujuan kebijakan perdagangan internasional. Sebelumnya, kamu harus tahu bahwa ada dua jenis perdagangan internasional di dunia, yaitu: free trade dan protective trade.</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Free trade adalah perdagangan di mana pemerintah tidak banyak ikut campur. Semua diserahkan pada mekanisme pasar. Jenis kebijakan ini dikenal juga dengan istilah pasar bebas.</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Sebaliknya, protective trade adalah kondisi di mana pemerintah mengatur setiap aspek perdagangan internasional mereka. Mulai dari mengatur bea masuk ekspor impor, jenis dan jumlah barang yang diperdagangkan, serta berbagai perangkat lainnya.</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Jenis apapun yang dijalankan sebuah negara, selalu memiliki tujuan tertentu. Adapun tujuan kebijakan perdagangan internasional suatu negara adalah:</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lastRenderedPageBreak/>
        <w:t>Agar negara tersebut mendapatkan keuntungan tanpa merugikan negara lain.</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Negara mendapatkan barang dan jasa yang diperlukan oleh rakyatnya.</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Melindungi industri dan perdagangan di dalam negeri, terutama industri kecil.</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Mengumpulkan devisa negara yang berasal dari penjualan atau ekspor.</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Memajukan industri dan perdagangan di dalam negeri dan mempermudah jalan mereka memasuki pasar global.</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Menyeimbangkan ekspor dan impor agar anggaran belanja negara terpenuhi.</w:t>
      </w:r>
    </w:p>
    <w:p w:rsidR="00067299" w:rsidRPr="00067299" w:rsidRDefault="00067299" w:rsidP="00067299">
      <w:pPr>
        <w:spacing w:after="120" w:line="240" w:lineRule="auto"/>
        <w:ind w:left="450" w:hanging="450"/>
        <w:jc w:val="both"/>
        <w:rPr>
          <w:rFonts w:ascii="Arial Narrow" w:hAnsi="Arial Narrow"/>
          <w:b/>
          <w:sz w:val="32"/>
          <w:szCs w:val="32"/>
        </w:rPr>
      </w:pPr>
      <w:r w:rsidRPr="00067299">
        <w:rPr>
          <w:rFonts w:ascii="Arial Narrow" w:hAnsi="Arial Narrow"/>
          <w:b/>
          <w:sz w:val="32"/>
          <w:szCs w:val="32"/>
        </w:rPr>
        <w:t>Manfaat Kebijakan Perdagangan Internasional</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Di atas telah disinggung bahwa kebijakan perdagangan suatu negara merujuk pada peraturan perdagangan internasional yang ditetapkan oleh WTO dan IMF. Kedua lembaga tersebut telah merumuskan sejumlah peraturan tentang perdagangan internasional.</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Sebenarnya, tidak semua negara di dunia bergabung dengan kedua atau salah satu dari organisasi ini. Sementara bagi negara-negara yang bergabung, kebijakan dagang internasional mereka tidak boleh bertentangan dengan peraturan WTO dan IMF.</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Anggota kedua badan internasional tersebut akan mendapatkan beberapa manfaat kebijakan perdagangan internasional, seperti:</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Kemudahan saat menjalin perdagangan dengan negara lain.</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Mendapatkan bantuan moneter untuk memajukan perdagangan internasionalnya. Baik dari lembaga tersebut maupun dari salah satu anggotanya.</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Masyarakat di negara tersebut dapat terpapar produk yang tidak ada di negara mereka, sehingga lebih banyak pilihan produk untuk dikonsumsi.</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Meningkatkan GDP yang berpengaruh pada tingkat perekonomian.</w:t>
      </w:r>
    </w:p>
    <w:p w:rsidR="00067299" w:rsidRPr="002F1177" w:rsidRDefault="00067299"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Contoh 10 Kebijakan Perdagangan Internasional</w:t>
      </w:r>
    </w:p>
    <w:p w:rsidR="00067299" w:rsidRPr="00067299" w:rsidRDefault="00067299" w:rsidP="00067299">
      <w:pPr>
        <w:spacing w:after="120" w:line="240" w:lineRule="auto"/>
        <w:jc w:val="both"/>
        <w:rPr>
          <w:rFonts w:ascii="Arial Narrow" w:hAnsi="Arial Narrow"/>
          <w:sz w:val="32"/>
          <w:szCs w:val="32"/>
        </w:rPr>
      </w:pPr>
      <w:r w:rsidRPr="00067299">
        <w:rPr>
          <w:rFonts w:ascii="Arial Narrow" w:hAnsi="Arial Narrow"/>
          <w:sz w:val="32"/>
          <w:szCs w:val="32"/>
        </w:rPr>
        <w:t>Setelah mengetahui tujuan dan manfaat kebijakan dagang internasional, berikut ini adalah 10 contoh kebijakan tersebut. Kita akan mengambil contoh kebijakan yang dilakukan Indonesia, diantaranya adalah:</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lastRenderedPageBreak/>
        <w:t>Pembatasan impor gula dan beras untuk meningkatkan produksi gula dan beras dalam negeri</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Menaikkan bea impor produk-produk tertentu untuk melindungi industri dalam negeri</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Melarang masuknya beberapa jenis barang dari negara lain karena merugikan, seperti barang bekas dari Singapura.</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Melarang ekspor barang-barang tertentu agar kebutuhan dalam negeri terpenuhi lebih dulu</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Mempermudah pengurusan dokumen fiskal bagi produk-produk kreatif</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Memberi kemudahan bagi pengusaha kecil dan menengah untuk menembus pasar ekspor</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Memberikan subsidi bagi barang-barang tertentu karena sangat dibutuhkan oleh masyarakat. Seperti vaksin atau obat-obatan.</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Membuka perdagangan baru dengan negara lain agar tidak tergantung pada volume perdagangan dengan satu negara saja.</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Menutup akses perdagangan dengan suatu negara karena alasan tertentu. Misalnya menutup hubungan dagang dengan Israel karena alasan kemanusiaan.</w:t>
      </w:r>
    </w:p>
    <w:p w:rsidR="00067299" w:rsidRPr="00067299" w:rsidRDefault="00067299" w:rsidP="00067299">
      <w:pPr>
        <w:pStyle w:val="ListParagraph"/>
        <w:numPr>
          <w:ilvl w:val="0"/>
          <w:numId w:val="1"/>
        </w:numPr>
        <w:spacing w:after="120" w:line="240" w:lineRule="auto"/>
        <w:jc w:val="both"/>
        <w:rPr>
          <w:rFonts w:ascii="Arial Narrow" w:hAnsi="Arial Narrow"/>
          <w:sz w:val="32"/>
          <w:szCs w:val="32"/>
        </w:rPr>
      </w:pPr>
      <w:r w:rsidRPr="00067299">
        <w:rPr>
          <w:rFonts w:ascii="Arial Narrow" w:hAnsi="Arial Narrow"/>
          <w:sz w:val="32"/>
          <w:szCs w:val="32"/>
        </w:rPr>
        <w:t xml:space="preserve">Menurunkan </w:t>
      </w:r>
      <w:r>
        <w:rPr>
          <w:rFonts w:ascii="Arial Narrow" w:hAnsi="Arial Narrow"/>
          <w:sz w:val="32"/>
          <w:szCs w:val="32"/>
        </w:rPr>
        <w:pgNum/>
        <w:t>ndust</w:t>
      </w:r>
      <w:r w:rsidRPr="00067299">
        <w:rPr>
          <w:rFonts w:ascii="Arial Narrow" w:hAnsi="Arial Narrow"/>
          <w:sz w:val="32"/>
          <w:szCs w:val="32"/>
        </w:rPr>
        <w:t xml:space="preserve"> ekspor dan menaikkan </w:t>
      </w:r>
      <w:r>
        <w:rPr>
          <w:rFonts w:ascii="Arial Narrow" w:hAnsi="Arial Narrow"/>
          <w:sz w:val="32"/>
          <w:szCs w:val="32"/>
        </w:rPr>
        <w:pgNum/>
        <w:t>ndust</w:t>
      </w:r>
      <w:r w:rsidRPr="00067299">
        <w:rPr>
          <w:rFonts w:ascii="Arial Narrow" w:hAnsi="Arial Narrow"/>
          <w:sz w:val="32"/>
          <w:szCs w:val="32"/>
        </w:rPr>
        <w:t xml:space="preserve"> impor untuk menghemat anggaran negara dan mendorong </w:t>
      </w:r>
      <w:r>
        <w:rPr>
          <w:rFonts w:ascii="Arial Narrow" w:hAnsi="Arial Narrow"/>
          <w:sz w:val="32"/>
          <w:szCs w:val="32"/>
        </w:rPr>
        <w:pgNum/>
        <w:t>ndustry</w:t>
      </w:r>
      <w:r w:rsidRPr="00067299">
        <w:rPr>
          <w:rFonts w:ascii="Arial Narrow" w:hAnsi="Arial Narrow"/>
          <w:sz w:val="32"/>
          <w:szCs w:val="32"/>
        </w:rPr>
        <w:t xml:space="preserve"> dalam negeri.</w:t>
      </w:r>
    </w:p>
    <w:p w:rsidR="00067299" w:rsidRPr="00067299" w:rsidRDefault="00067299" w:rsidP="00067299">
      <w:pPr>
        <w:spacing w:after="120" w:line="240" w:lineRule="auto"/>
        <w:ind w:left="450" w:hanging="450"/>
        <w:jc w:val="both"/>
        <w:rPr>
          <w:rFonts w:ascii="Arial Narrow" w:hAnsi="Arial Narrow"/>
          <w:b/>
          <w:sz w:val="32"/>
          <w:szCs w:val="32"/>
        </w:rPr>
      </w:pPr>
      <w:r w:rsidRPr="00067299">
        <w:rPr>
          <w:rFonts w:ascii="Arial Narrow" w:hAnsi="Arial Narrow"/>
          <w:b/>
          <w:sz w:val="32"/>
          <w:szCs w:val="32"/>
        </w:rPr>
        <w:t>Dampak Kebijakan Perdagangan Internasional</w:t>
      </w:r>
    </w:p>
    <w:p w:rsidR="00067299" w:rsidRPr="00067299" w:rsidRDefault="00067299" w:rsidP="00067299">
      <w:pPr>
        <w:pStyle w:val="ListParagraph"/>
        <w:numPr>
          <w:ilvl w:val="0"/>
          <w:numId w:val="1"/>
        </w:numPr>
        <w:spacing w:after="120" w:line="240" w:lineRule="auto"/>
        <w:ind w:left="450" w:hanging="450"/>
        <w:jc w:val="both"/>
        <w:rPr>
          <w:rFonts w:ascii="Arial Narrow" w:hAnsi="Arial Narrow"/>
          <w:sz w:val="32"/>
          <w:szCs w:val="32"/>
        </w:rPr>
      </w:pPr>
      <w:r w:rsidRPr="00067299">
        <w:rPr>
          <w:rFonts w:ascii="Arial Narrow" w:hAnsi="Arial Narrow"/>
          <w:sz w:val="32"/>
          <w:szCs w:val="32"/>
        </w:rPr>
        <w:t>Secara umum, dampak kebijakan perdagangan internasional terlihat dari semakin banyaknya wilayah yang bisa dicapai oleh suatu negara. Kebijakan perdagangan internasional juga dapat meningkatkan kerjasama bilateral dan multilateral.</w:t>
      </w:r>
    </w:p>
    <w:p w:rsidR="00067299" w:rsidRPr="00067299" w:rsidRDefault="00067299" w:rsidP="00067299">
      <w:pPr>
        <w:pStyle w:val="ListParagraph"/>
        <w:numPr>
          <w:ilvl w:val="0"/>
          <w:numId w:val="1"/>
        </w:numPr>
        <w:spacing w:after="120" w:line="240" w:lineRule="auto"/>
        <w:ind w:left="450" w:hanging="450"/>
        <w:jc w:val="both"/>
        <w:rPr>
          <w:rFonts w:ascii="Arial Narrow" w:hAnsi="Arial Narrow"/>
          <w:sz w:val="32"/>
          <w:szCs w:val="32"/>
        </w:rPr>
      </w:pPr>
      <w:r w:rsidRPr="00067299">
        <w:rPr>
          <w:rFonts w:ascii="Arial Narrow" w:hAnsi="Arial Narrow"/>
          <w:sz w:val="32"/>
          <w:szCs w:val="32"/>
        </w:rPr>
        <w:t>Namun di beberapa sisi, kebijakan perdagangan internasional tidak menguntungkan bagi negara-negara berkembang dan dunia ketiga, misalnya dari penetapan suku bunga, pembatasan kuota perdagangan, dll.  Kebijakan yang tidak menguntungkan juga membuat suatu negara menjadi ketergantungan dengan negara tertentu.</w:t>
      </w:r>
    </w:p>
    <w:p w:rsidR="00067299" w:rsidRDefault="00067299" w:rsidP="00067299">
      <w:pPr>
        <w:pStyle w:val="ListParagraph"/>
        <w:numPr>
          <w:ilvl w:val="0"/>
          <w:numId w:val="1"/>
        </w:numPr>
        <w:spacing w:after="120" w:line="240" w:lineRule="auto"/>
        <w:ind w:left="450" w:hanging="450"/>
        <w:jc w:val="both"/>
        <w:rPr>
          <w:rFonts w:ascii="Arial Narrow" w:hAnsi="Arial Narrow"/>
          <w:sz w:val="32"/>
          <w:szCs w:val="32"/>
        </w:rPr>
      </w:pPr>
      <w:r w:rsidRPr="00067299">
        <w:rPr>
          <w:rFonts w:ascii="Arial Narrow" w:hAnsi="Arial Narrow"/>
          <w:sz w:val="32"/>
          <w:szCs w:val="32"/>
        </w:rPr>
        <w:t>Namun di sisi lain, dengan kebijakan yang tepat, maka negara dunia ketiga juga terbantu untuk memasarkan produk dalam negerinya ke lebih banyak negara.</w:t>
      </w:r>
    </w:p>
    <w:p w:rsidR="00067299" w:rsidRDefault="00067299" w:rsidP="00067299">
      <w:pPr>
        <w:spacing w:after="120" w:line="240" w:lineRule="auto"/>
        <w:ind w:left="450" w:hanging="450"/>
        <w:jc w:val="both"/>
        <w:rPr>
          <w:rFonts w:ascii="Arial Narrow" w:hAnsi="Arial Narrow"/>
          <w:sz w:val="32"/>
          <w:szCs w:val="32"/>
        </w:rPr>
      </w:pPr>
    </w:p>
    <w:p w:rsidR="00913030" w:rsidRPr="00067299" w:rsidRDefault="00913030" w:rsidP="00067299">
      <w:pPr>
        <w:spacing w:after="120" w:line="240" w:lineRule="auto"/>
        <w:ind w:left="450" w:hanging="450"/>
        <w:jc w:val="both"/>
        <w:rPr>
          <w:rFonts w:ascii="Arial Narrow" w:hAnsi="Arial Narrow"/>
          <w:b/>
          <w:sz w:val="32"/>
          <w:szCs w:val="32"/>
        </w:rPr>
      </w:pPr>
      <w:r w:rsidRPr="00067299">
        <w:rPr>
          <w:rFonts w:ascii="Arial Narrow" w:hAnsi="Arial Narrow"/>
          <w:b/>
          <w:sz w:val="32"/>
          <w:szCs w:val="32"/>
        </w:rPr>
        <w:lastRenderedPageBreak/>
        <w:t>KEBIJAKAN-KEBIJAKAN PERDAGANGAN INTERNASIONAL</w:t>
      </w:r>
    </w:p>
    <w:p w:rsidR="00913030" w:rsidRPr="00067299" w:rsidRDefault="00913030" w:rsidP="00067299">
      <w:pPr>
        <w:spacing w:after="120" w:line="240" w:lineRule="auto"/>
        <w:ind w:left="450" w:hanging="450"/>
        <w:jc w:val="both"/>
        <w:rPr>
          <w:rFonts w:ascii="Arial Narrow" w:hAnsi="Arial Narrow"/>
          <w:sz w:val="32"/>
          <w:szCs w:val="32"/>
        </w:rPr>
      </w:pPr>
      <w:r w:rsidRPr="00067299">
        <w:rPr>
          <w:rFonts w:ascii="Arial Narrow" w:hAnsi="Arial Narrow"/>
          <w:sz w:val="32"/>
          <w:szCs w:val="32"/>
        </w:rPr>
        <w:t>Kebijakan-Kebijakan Perdagangan Internasional, meliputi:</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1.  </w:t>
      </w:r>
      <w:r w:rsidRPr="002F1177">
        <w:rPr>
          <w:rFonts w:ascii="Arial Narrow" w:hAnsi="Arial Narrow"/>
          <w:b/>
          <w:sz w:val="32"/>
          <w:szCs w:val="32"/>
        </w:rPr>
        <w:tab/>
      </w:r>
      <w:r w:rsidRPr="002F1177">
        <w:rPr>
          <w:rFonts w:ascii="Arial Narrow" w:hAnsi="Arial Narrow"/>
          <w:b/>
          <w:sz w:val="32"/>
          <w:szCs w:val="32"/>
        </w:rPr>
        <w:t>Tarif</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Tarif adalah sejenis pajak yang dikenakan atas barang-barang yang diimpor. Tarif spesifik (Specific Tariffs) dikenakan sebagai beban tetap atas unit barang yang diimpor. Misalnya $6 untuk setiap barel minyak). Tarifold Valorem (od Valorem Tariffs) adalah pajak yang dikenakan berdasarkan persentase tertentu dari nilai barang-barang yang diimpor (Misalnya, tariff 25 persen atas mobil yang diimpor). Dalam kedua kasus dampak tarif akan meningkatkan biaya pengiriman barang ke suatu negara.</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2.  </w:t>
      </w:r>
      <w:r w:rsidRPr="002F1177">
        <w:rPr>
          <w:rFonts w:ascii="Arial Narrow" w:hAnsi="Arial Narrow"/>
          <w:b/>
          <w:sz w:val="32"/>
          <w:szCs w:val="32"/>
        </w:rPr>
        <w:tab/>
      </w:r>
      <w:r w:rsidRPr="002F1177">
        <w:rPr>
          <w:rFonts w:ascii="Arial Narrow" w:hAnsi="Arial Narrow"/>
          <w:b/>
          <w:sz w:val="32"/>
          <w:szCs w:val="32"/>
        </w:rPr>
        <w:t>Subsidi Ekspor</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Subsidi ekspor adalah pembayaran sejumlah tertentu kepada perusahaan atau perseorangan yang menjual barang ke luar negeri, seperti tariff, subsidi ekspor dapat berbentuk spesifik (nilai tertentu per unit barang) atau Od Valorem (presentase dari nilai yang diekspor). Jika pemerintah memberikan subsidi ekspor, pengirim akan mengekspor, pengirim akan mengekspor barang sampai batas dimana selisih harga domestic dan harga luar negeri sama dengan nilai subsidi. Dampak dari subsidi ekspor adalah meningkatkan harga dinegara pengekspor sedangkan di negara pengimpor harganya turun.</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3.  </w:t>
      </w:r>
      <w:r w:rsidRPr="002F1177">
        <w:rPr>
          <w:rFonts w:ascii="Arial Narrow" w:hAnsi="Arial Narrow"/>
          <w:b/>
          <w:sz w:val="32"/>
          <w:szCs w:val="32"/>
        </w:rPr>
        <w:tab/>
      </w:r>
      <w:r w:rsidRPr="002F1177">
        <w:rPr>
          <w:rFonts w:ascii="Arial Narrow" w:hAnsi="Arial Narrow"/>
          <w:b/>
          <w:sz w:val="32"/>
          <w:szCs w:val="32"/>
        </w:rPr>
        <w:t>Pembatasan Impor</w:t>
      </w:r>
    </w:p>
    <w:p w:rsidR="002F1177"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Pembatasan impor (Import Quota) merupakan pembatasan langsung atas jumlah barang yang boleh diimpor. Pembatasan ini biasanya diberlakukan dengan memberikan lisensi kepada beberapa kelompok individu atau perusahaan. </w:t>
      </w:r>
    </w:p>
    <w:p w:rsidR="00913030" w:rsidRPr="00067299" w:rsidRDefault="00913030" w:rsidP="00067299">
      <w:pPr>
        <w:spacing w:after="120" w:line="240" w:lineRule="auto"/>
        <w:ind w:left="450"/>
        <w:jc w:val="both"/>
        <w:rPr>
          <w:rFonts w:ascii="Arial Narrow" w:hAnsi="Arial Narrow"/>
          <w:sz w:val="32"/>
          <w:szCs w:val="32"/>
        </w:rPr>
      </w:pPr>
      <w:bookmarkStart w:id="0" w:name="_GoBack"/>
      <w:bookmarkEnd w:id="0"/>
      <w:r w:rsidRPr="00067299">
        <w:rPr>
          <w:rFonts w:ascii="Arial Narrow" w:hAnsi="Arial Narrow"/>
          <w:sz w:val="32"/>
          <w:szCs w:val="32"/>
        </w:rPr>
        <w:t>Misalnya, Amerika Serikat membatasi impor keju. Hanya perusahaan-perusahaan dagang tertentu yang diizinkan mengimpor keju, masing-masing yang diberikan jatah untuk mengimpor sejumlah tertentu setiap tahun, tak boleh melebihi jumlah maksimal yang telah ditetapkan. Besarnya kuota untuk setiap perusahaan didasarkan pada jumlah keju yang diimpor tahun-tahun sebelumnya.</w:t>
      </w:r>
    </w:p>
    <w:p w:rsidR="002F1177" w:rsidRDefault="002F1177" w:rsidP="00067299">
      <w:pPr>
        <w:spacing w:after="120" w:line="240" w:lineRule="auto"/>
        <w:ind w:left="450" w:hanging="450"/>
        <w:jc w:val="both"/>
        <w:rPr>
          <w:rFonts w:ascii="Arial Narrow" w:hAnsi="Arial Narrow"/>
          <w:b/>
          <w:sz w:val="32"/>
          <w:szCs w:val="32"/>
        </w:rPr>
      </w:pPr>
    </w:p>
    <w:p w:rsidR="002F1177" w:rsidRDefault="002F1177" w:rsidP="00067299">
      <w:pPr>
        <w:spacing w:after="120" w:line="240" w:lineRule="auto"/>
        <w:ind w:left="450" w:hanging="450"/>
        <w:jc w:val="both"/>
        <w:rPr>
          <w:rFonts w:ascii="Arial Narrow" w:hAnsi="Arial Narrow"/>
          <w:b/>
          <w:sz w:val="32"/>
          <w:szCs w:val="32"/>
        </w:rPr>
      </w:pP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4.   Pengekangan Ekspor Sukarela</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Bentuk lain dari pembatasan impor adalah pengekangan sukarela (Voluntary Export Restraint), yang juga dikenal dengan kesepakatan pengendalian sukarela (Voluntary Restraint Agreement=ERA). VER adalah suatu pembatasan (Kuota0 atas perdagangan yang dikenakan oleh pihak negara pengekspor dan bukan pengimpor. </w:t>
      </w:r>
    </w:p>
    <w:p w:rsidR="002F1177"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VER mempunyai keuntungan-keuntungan politis dan legal yang membuatnya menjadi perangkat kebijakan perdagangan yang lebih disukai dalam beberapa tahun belakangan. Namun dari sudut pandang ekonomi, pengendalian ekspor sukarela persis sama dengan kuota impor dimana lisensi diberikan kepada pemerintah asing dan karena itu sangat mahal bagi negara pengimpor. </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VER selalu lebih mahal bagi negara pengimpor dibandingan dengan tariff yang membatasi impor dengan jumlah yang sama. Bedanya apa yang menjadi pendapatan pemerintah dalam tariff menjadi (rent) yang diperoleh pihak asing dalam VER, sehingga VER nyata-nyata mengakibatkan kerugian.</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5. </w:t>
      </w:r>
      <w:r w:rsidRPr="002F1177">
        <w:rPr>
          <w:rFonts w:ascii="Arial Narrow" w:hAnsi="Arial Narrow"/>
          <w:b/>
          <w:sz w:val="32"/>
          <w:szCs w:val="32"/>
        </w:rPr>
        <w:tab/>
      </w:r>
      <w:r w:rsidRPr="002F1177">
        <w:rPr>
          <w:rFonts w:ascii="Arial Narrow" w:hAnsi="Arial Narrow"/>
          <w:b/>
          <w:sz w:val="32"/>
          <w:szCs w:val="32"/>
        </w:rPr>
        <w:t>Persyaratan Kandungan Lokal</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Persyaratan kandungan lokal (local content requirement) merupakan pengaturan yang mensyaratkan bahwa bagian-bagian tertentu dari unit-unit fisik, seperti kuota impor minyak AS ditahun 1960-an. Dalam kasus lain, persyaratan ditetapkan dalam nilai, yang mensyaratkan pangsa minimum tertentu dalam harga barang berawal dari nilali tambah domestic. Ketentuan kandungan local telah digunakan secara luas oleh negara berkembang yang beriktiar mengalihkan basis manufakturanya dari perakitan kepada pengolahan bahan-bahan antara (intermediate goods). Di amerika serikat rancangan undang-undang kandungan local untuk kendaraan bermotor diajukan tahun 1982 tetapi hingga kini berlum diberlakukan.</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6.  </w:t>
      </w:r>
      <w:r w:rsidRPr="002F1177">
        <w:rPr>
          <w:rFonts w:ascii="Arial Narrow" w:hAnsi="Arial Narrow"/>
          <w:b/>
          <w:sz w:val="32"/>
          <w:szCs w:val="32"/>
        </w:rPr>
        <w:tab/>
      </w:r>
      <w:r w:rsidRPr="002F1177">
        <w:rPr>
          <w:rFonts w:ascii="Arial Narrow" w:hAnsi="Arial Narrow"/>
          <w:b/>
          <w:sz w:val="32"/>
          <w:szCs w:val="32"/>
        </w:rPr>
        <w:t>Subsidi Kredit Ekspor</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Subsidi kredit ekspor ini semacam subsidi ekspor, hanya saja wujudnya dalam pinjaman yang di subsidi kepada pembeli. Amerika Serikat seperti </w:t>
      </w:r>
      <w:r w:rsidRPr="00067299">
        <w:rPr>
          <w:rFonts w:ascii="Arial Narrow" w:hAnsi="Arial Narrow"/>
          <w:sz w:val="32"/>
          <w:szCs w:val="32"/>
        </w:rPr>
        <w:lastRenderedPageBreak/>
        <w:t>juga kebanyakan negara, memilki suatu lembaga pemerintah, export-import bank (bank Ekspor-impor) yang diarahkan untuk paling tidak memberikan pinjaman-pinjaman yang disubsidi untuk membantu ekspor.</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7.  </w:t>
      </w:r>
      <w:r w:rsidRPr="002F1177">
        <w:rPr>
          <w:rFonts w:ascii="Arial Narrow" w:hAnsi="Arial Narrow"/>
          <w:b/>
          <w:sz w:val="32"/>
          <w:szCs w:val="32"/>
        </w:rPr>
        <w:tab/>
      </w:r>
      <w:r w:rsidRPr="002F1177">
        <w:rPr>
          <w:rFonts w:ascii="Arial Narrow" w:hAnsi="Arial Narrow"/>
          <w:b/>
          <w:sz w:val="32"/>
          <w:szCs w:val="32"/>
        </w:rPr>
        <w:t>Pengendalian Pemerintah (National Procurement)</w:t>
      </w:r>
    </w:p>
    <w:p w:rsidR="002F1177"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Pembelian-pembelian oleh pemerintah atau perusahaan-perusahaan yang diatur secara ketat dapat diarahkan pada barang-barang yang diproduksi di dalam negeri meskipun barang-barang tersebut lebih mahal daripada yang diimpor. </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Contoh yang klasik adalah industri telekomunikasi Eropa. Negara-negara mensyaratkan eropa pada dasarnya bebas berdagang satu sama lain. Namun pembeli-pembeli utama dari peralatan telekomunikasi adalah perusahaan-perusahaan telepon dan di Eropa perusahaan-perusahaan ini hingga kini dimiliki pemerintah, pemasok domestic meskipun jika para pemasok tersebut mengenakan harga yang lebih tinggi dibandingkan dengan pemasok-pemasok lain. Akibatnya adalah hanya sedikit perdagangan peralatan komunikasi di Eropa.</w:t>
      </w:r>
    </w:p>
    <w:p w:rsidR="00913030" w:rsidRPr="002F1177" w:rsidRDefault="00913030" w:rsidP="00067299">
      <w:pPr>
        <w:spacing w:after="120" w:line="240" w:lineRule="auto"/>
        <w:ind w:left="450" w:hanging="450"/>
        <w:jc w:val="both"/>
        <w:rPr>
          <w:rFonts w:ascii="Arial Narrow" w:hAnsi="Arial Narrow"/>
          <w:b/>
          <w:sz w:val="32"/>
          <w:szCs w:val="32"/>
        </w:rPr>
      </w:pPr>
      <w:r w:rsidRPr="002F1177">
        <w:rPr>
          <w:rFonts w:ascii="Arial Narrow" w:hAnsi="Arial Narrow"/>
          <w:b/>
          <w:sz w:val="32"/>
          <w:szCs w:val="32"/>
        </w:rPr>
        <w:t xml:space="preserve">8. </w:t>
      </w:r>
      <w:r w:rsidRPr="002F1177">
        <w:rPr>
          <w:rFonts w:ascii="Arial Narrow" w:hAnsi="Arial Narrow"/>
          <w:b/>
          <w:sz w:val="32"/>
          <w:szCs w:val="32"/>
        </w:rPr>
        <w:tab/>
      </w:r>
      <w:r w:rsidRPr="002F1177">
        <w:rPr>
          <w:rFonts w:ascii="Arial Narrow" w:hAnsi="Arial Narrow"/>
          <w:b/>
          <w:sz w:val="32"/>
          <w:szCs w:val="32"/>
        </w:rPr>
        <w:t>Hambatan-Hambatan Birokrasi (Red Tape Barriers)</w:t>
      </w:r>
    </w:p>
    <w:p w:rsidR="002F1177"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 xml:space="preserve">Terkadang pemerintah ingin membatasi impor tanpa melakukannya secara formal. Untungnya atau sayangnya, begitu mudah untuk membelitkan standar kesehatan, keamanan, dan prosedur pabean sedemikian rupa sehingga merupakan perintang dalam perdagangan. </w:t>
      </w:r>
    </w:p>
    <w:p w:rsidR="00913030" w:rsidRPr="00067299" w:rsidRDefault="00913030" w:rsidP="00067299">
      <w:pPr>
        <w:spacing w:after="120" w:line="240" w:lineRule="auto"/>
        <w:ind w:left="450"/>
        <w:jc w:val="both"/>
        <w:rPr>
          <w:rFonts w:ascii="Arial Narrow" w:hAnsi="Arial Narrow"/>
          <w:sz w:val="32"/>
          <w:szCs w:val="32"/>
        </w:rPr>
      </w:pPr>
      <w:r w:rsidRPr="00067299">
        <w:rPr>
          <w:rFonts w:ascii="Arial Narrow" w:hAnsi="Arial Narrow"/>
          <w:sz w:val="32"/>
          <w:szCs w:val="32"/>
        </w:rPr>
        <w:t>Contoh klasiknya adalah Surat Keputusan Pemerintah Perancis 1982 yang mengharuskan seluruh alat perekam kaset video melalui jawatan pabean yang kecil di Poltiers yang secara efektif membatasi realiasi sampai jumlah yang relatif amat sedikit.</w:t>
      </w:r>
    </w:p>
    <w:sectPr w:rsidR="00913030" w:rsidRPr="0006729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F59" w:rsidRDefault="00AA3F59" w:rsidP="002F1177">
      <w:pPr>
        <w:spacing w:after="0" w:line="240" w:lineRule="auto"/>
      </w:pPr>
      <w:r>
        <w:separator/>
      </w:r>
    </w:p>
  </w:endnote>
  <w:endnote w:type="continuationSeparator" w:id="0">
    <w:p w:rsidR="00AA3F59" w:rsidRDefault="00AA3F59" w:rsidP="002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F59" w:rsidRDefault="00AA3F59" w:rsidP="002F1177">
      <w:pPr>
        <w:spacing w:after="0" w:line="240" w:lineRule="auto"/>
      </w:pPr>
      <w:r>
        <w:separator/>
      </w:r>
    </w:p>
  </w:footnote>
  <w:footnote w:type="continuationSeparator" w:id="0">
    <w:p w:rsidR="00AA3F59" w:rsidRDefault="00AA3F59" w:rsidP="002F1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443472"/>
      <w:docPartObj>
        <w:docPartGallery w:val="Page Numbers (Top of Page)"/>
        <w:docPartUnique/>
      </w:docPartObj>
    </w:sdtPr>
    <w:sdtEndPr>
      <w:rPr>
        <w:b/>
        <w:noProof/>
        <w:sz w:val="28"/>
        <w:szCs w:val="28"/>
      </w:rPr>
    </w:sdtEndPr>
    <w:sdtContent>
      <w:p w:rsidR="002F1177" w:rsidRPr="002F1177" w:rsidRDefault="002F1177">
        <w:pPr>
          <w:pStyle w:val="Header"/>
          <w:jc w:val="right"/>
          <w:rPr>
            <w:b/>
            <w:sz w:val="28"/>
            <w:szCs w:val="28"/>
          </w:rPr>
        </w:pPr>
        <w:r w:rsidRPr="002F1177">
          <w:rPr>
            <w:b/>
            <w:sz w:val="28"/>
            <w:szCs w:val="28"/>
          </w:rPr>
          <w:fldChar w:fldCharType="begin"/>
        </w:r>
        <w:r w:rsidRPr="002F1177">
          <w:rPr>
            <w:b/>
            <w:sz w:val="28"/>
            <w:szCs w:val="28"/>
          </w:rPr>
          <w:instrText xml:space="preserve"> PAGE   \* MERGEFORMAT </w:instrText>
        </w:r>
        <w:r w:rsidRPr="002F1177">
          <w:rPr>
            <w:b/>
            <w:sz w:val="28"/>
            <w:szCs w:val="28"/>
          </w:rPr>
          <w:fldChar w:fldCharType="separate"/>
        </w:r>
        <w:r>
          <w:rPr>
            <w:b/>
            <w:noProof/>
            <w:sz w:val="28"/>
            <w:szCs w:val="28"/>
          </w:rPr>
          <w:t>4</w:t>
        </w:r>
        <w:r w:rsidRPr="002F1177">
          <w:rPr>
            <w:b/>
            <w:noProof/>
            <w:sz w:val="28"/>
            <w:szCs w:val="28"/>
          </w:rPr>
          <w:fldChar w:fldCharType="end"/>
        </w:r>
      </w:p>
    </w:sdtContent>
  </w:sdt>
  <w:p w:rsidR="002F1177" w:rsidRDefault="002F1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D1321"/>
    <w:multiLevelType w:val="hybridMultilevel"/>
    <w:tmpl w:val="436A8AB2"/>
    <w:lvl w:ilvl="0" w:tplc="C2C4510A">
      <w:start w:val="8"/>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030"/>
    <w:rsid w:val="00067299"/>
    <w:rsid w:val="002F1177"/>
    <w:rsid w:val="00594D35"/>
    <w:rsid w:val="00913030"/>
    <w:rsid w:val="00AA3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299"/>
    <w:pPr>
      <w:ind w:left="720"/>
      <w:contextualSpacing/>
    </w:pPr>
  </w:style>
  <w:style w:type="paragraph" w:styleId="Header">
    <w:name w:val="header"/>
    <w:basedOn w:val="Normal"/>
    <w:link w:val="HeaderChar"/>
    <w:uiPriority w:val="99"/>
    <w:unhideWhenUsed/>
    <w:rsid w:val="002F1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177"/>
  </w:style>
  <w:style w:type="paragraph" w:styleId="Footer">
    <w:name w:val="footer"/>
    <w:basedOn w:val="Normal"/>
    <w:link w:val="FooterChar"/>
    <w:uiPriority w:val="99"/>
    <w:unhideWhenUsed/>
    <w:rsid w:val="002F1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299"/>
    <w:pPr>
      <w:ind w:left="720"/>
      <w:contextualSpacing/>
    </w:pPr>
  </w:style>
  <w:style w:type="paragraph" w:styleId="Header">
    <w:name w:val="header"/>
    <w:basedOn w:val="Normal"/>
    <w:link w:val="HeaderChar"/>
    <w:uiPriority w:val="99"/>
    <w:unhideWhenUsed/>
    <w:rsid w:val="002F1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177"/>
  </w:style>
  <w:style w:type="paragraph" w:styleId="Footer">
    <w:name w:val="footer"/>
    <w:basedOn w:val="Normal"/>
    <w:link w:val="FooterChar"/>
    <w:uiPriority w:val="99"/>
    <w:unhideWhenUsed/>
    <w:rsid w:val="002F1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Marketing</dc:creator>
  <cp:lastModifiedBy>Digital Marketing</cp:lastModifiedBy>
  <cp:revision>3</cp:revision>
  <dcterms:created xsi:type="dcterms:W3CDTF">2024-04-22T01:47:00Z</dcterms:created>
  <dcterms:modified xsi:type="dcterms:W3CDTF">2024-04-22T02:16:00Z</dcterms:modified>
</cp:coreProperties>
</file>