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A4FD1" w14:textId="77777777" w:rsidR="00856364" w:rsidRPr="001C3E36" w:rsidRDefault="00C00D25" w:rsidP="00114D7E">
      <w:pPr>
        <w:jc w:val="center"/>
        <w:rPr>
          <w:rFonts w:ascii="Times New Roman" w:hAnsi="Times New Roman"/>
          <w:b/>
          <w:bCs/>
          <w:sz w:val="36"/>
          <w:szCs w:val="36"/>
        </w:rPr>
      </w:pPr>
      <w:r>
        <w:rPr>
          <w:noProof/>
        </w:rPr>
        <w:drawing>
          <wp:anchor distT="0" distB="0" distL="114300" distR="114300" simplePos="0" relativeHeight="251657728" behindDoc="1" locked="0" layoutInCell="1" allowOverlap="1" wp14:anchorId="7B14D284" wp14:editId="68DD18E6">
            <wp:simplePos x="0" y="0"/>
            <wp:positionH relativeFrom="margin">
              <wp:posOffset>941070</wp:posOffset>
            </wp:positionH>
            <wp:positionV relativeFrom="margin">
              <wp:posOffset>521335</wp:posOffset>
            </wp:positionV>
            <wp:extent cx="3836670" cy="405511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6670" cy="405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856364" w:rsidRPr="001C3E36">
        <w:rPr>
          <w:rFonts w:ascii="Times New Roman" w:hAnsi="Times New Roman"/>
          <w:b/>
          <w:bCs/>
          <w:sz w:val="36"/>
          <w:szCs w:val="36"/>
        </w:rPr>
        <w:t>PENJELASAN LAPORAN KEUANGAN PERBANKAN DAN AKUNTANSI KLIRING</w:t>
      </w:r>
    </w:p>
    <w:p w14:paraId="27D4B555" w14:textId="77777777" w:rsidR="00856364" w:rsidRDefault="00856364" w:rsidP="00114D7E">
      <w:pPr>
        <w:jc w:val="center"/>
        <w:rPr>
          <w:b/>
          <w:bCs/>
          <w:sz w:val="28"/>
          <w:szCs w:val="28"/>
        </w:rPr>
      </w:pPr>
    </w:p>
    <w:p w14:paraId="263D3E65" w14:textId="77777777" w:rsidR="00856364" w:rsidRPr="00856364" w:rsidRDefault="00856364" w:rsidP="00114D7E">
      <w:pPr>
        <w:jc w:val="center"/>
        <w:rPr>
          <w:sz w:val="28"/>
          <w:szCs w:val="28"/>
        </w:rPr>
      </w:pPr>
    </w:p>
    <w:p w14:paraId="168F6B3B" w14:textId="77777777" w:rsidR="00856364" w:rsidRPr="00856364" w:rsidRDefault="00856364" w:rsidP="00114D7E">
      <w:pPr>
        <w:jc w:val="center"/>
        <w:rPr>
          <w:sz w:val="28"/>
          <w:szCs w:val="28"/>
        </w:rPr>
      </w:pPr>
    </w:p>
    <w:p w14:paraId="1711754D" w14:textId="77777777" w:rsidR="00856364" w:rsidRPr="00856364" w:rsidRDefault="00856364" w:rsidP="00114D7E">
      <w:pPr>
        <w:jc w:val="center"/>
        <w:rPr>
          <w:sz w:val="28"/>
          <w:szCs w:val="28"/>
        </w:rPr>
      </w:pPr>
    </w:p>
    <w:p w14:paraId="13CDCDA9" w14:textId="77777777" w:rsidR="00856364" w:rsidRPr="00856364" w:rsidRDefault="00856364" w:rsidP="00114D7E">
      <w:pPr>
        <w:jc w:val="center"/>
        <w:rPr>
          <w:sz w:val="28"/>
          <w:szCs w:val="28"/>
        </w:rPr>
      </w:pPr>
    </w:p>
    <w:p w14:paraId="59579932" w14:textId="77777777" w:rsidR="00856364" w:rsidRPr="00856364" w:rsidRDefault="00856364" w:rsidP="00114D7E">
      <w:pPr>
        <w:jc w:val="center"/>
        <w:rPr>
          <w:sz w:val="28"/>
          <w:szCs w:val="28"/>
        </w:rPr>
      </w:pPr>
    </w:p>
    <w:p w14:paraId="109CF3FA" w14:textId="77777777" w:rsidR="00856364" w:rsidRPr="00856364" w:rsidRDefault="00856364" w:rsidP="00114D7E">
      <w:pPr>
        <w:jc w:val="center"/>
        <w:rPr>
          <w:sz w:val="28"/>
          <w:szCs w:val="28"/>
        </w:rPr>
      </w:pPr>
    </w:p>
    <w:p w14:paraId="70486501" w14:textId="77777777" w:rsidR="00856364" w:rsidRPr="00856364" w:rsidRDefault="00856364" w:rsidP="00114D7E">
      <w:pPr>
        <w:jc w:val="center"/>
        <w:rPr>
          <w:sz w:val="28"/>
          <w:szCs w:val="28"/>
        </w:rPr>
      </w:pPr>
    </w:p>
    <w:p w14:paraId="2457D77E" w14:textId="77777777" w:rsidR="00856364" w:rsidRPr="00856364" w:rsidRDefault="00856364" w:rsidP="00114D7E">
      <w:pPr>
        <w:jc w:val="center"/>
        <w:rPr>
          <w:sz w:val="28"/>
          <w:szCs w:val="28"/>
        </w:rPr>
      </w:pPr>
    </w:p>
    <w:p w14:paraId="58F2C77A" w14:textId="77777777" w:rsidR="00856364" w:rsidRPr="00856364" w:rsidRDefault="00856364" w:rsidP="00114D7E">
      <w:pPr>
        <w:jc w:val="center"/>
        <w:rPr>
          <w:sz w:val="28"/>
          <w:szCs w:val="28"/>
        </w:rPr>
      </w:pPr>
    </w:p>
    <w:p w14:paraId="74DB70D4" w14:textId="77777777" w:rsidR="00856364" w:rsidRPr="00856364" w:rsidRDefault="00856364" w:rsidP="00114D7E">
      <w:pPr>
        <w:jc w:val="center"/>
        <w:rPr>
          <w:sz w:val="28"/>
          <w:szCs w:val="28"/>
        </w:rPr>
      </w:pPr>
    </w:p>
    <w:p w14:paraId="2184693B" w14:textId="77777777" w:rsidR="00856364" w:rsidRDefault="00856364" w:rsidP="00114D7E">
      <w:pPr>
        <w:jc w:val="center"/>
        <w:rPr>
          <w:b/>
          <w:bCs/>
          <w:sz w:val="28"/>
          <w:szCs w:val="28"/>
        </w:rPr>
      </w:pPr>
    </w:p>
    <w:p w14:paraId="6FC5CBC8" w14:textId="77777777" w:rsidR="00856364" w:rsidRDefault="00856364" w:rsidP="00114D7E">
      <w:pPr>
        <w:tabs>
          <w:tab w:val="left" w:pos="2029"/>
        </w:tabs>
        <w:jc w:val="center"/>
      </w:pPr>
      <w:r>
        <w:t>Dosen Pengampu :</w:t>
      </w:r>
    </w:p>
    <w:p w14:paraId="12279F36" w14:textId="77777777" w:rsidR="00856364" w:rsidRDefault="00A17AB1" w:rsidP="00114D7E">
      <w:pPr>
        <w:tabs>
          <w:tab w:val="left" w:pos="2029"/>
        </w:tabs>
        <w:jc w:val="center"/>
      </w:pPr>
      <w:r>
        <w:t>Dewi Rosaria, Ak.Msi</w:t>
      </w:r>
    </w:p>
    <w:p w14:paraId="15138F25" w14:textId="77777777" w:rsidR="00A17AB1" w:rsidRDefault="00A17AB1" w:rsidP="00114D7E">
      <w:pPr>
        <w:tabs>
          <w:tab w:val="left" w:pos="2029"/>
        </w:tabs>
        <w:jc w:val="center"/>
      </w:pPr>
    </w:p>
    <w:p w14:paraId="2A673E95" w14:textId="77777777" w:rsidR="00A17AB1" w:rsidRDefault="00A17AB1" w:rsidP="00114D7E">
      <w:pPr>
        <w:tabs>
          <w:tab w:val="left" w:pos="2029"/>
        </w:tabs>
        <w:jc w:val="center"/>
      </w:pPr>
      <w:r>
        <w:t>Kelompok 1</w:t>
      </w:r>
    </w:p>
    <w:p w14:paraId="55D8A030" w14:textId="77777777" w:rsidR="00A17AB1" w:rsidRDefault="00A17AB1" w:rsidP="00114D7E">
      <w:pPr>
        <w:tabs>
          <w:tab w:val="left" w:pos="2029"/>
        </w:tabs>
        <w:jc w:val="center"/>
      </w:pPr>
      <w:r>
        <w:t>Nama Kelompok :</w:t>
      </w:r>
    </w:p>
    <w:tbl>
      <w:tblPr>
        <w:tblW w:w="0" w:type="auto"/>
        <w:tblInd w:w="2597" w:type="dxa"/>
        <w:tblLook w:val="04A0" w:firstRow="1" w:lastRow="0" w:firstColumn="1" w:lastColumn="0" w:noHBand="0" w:noVBand="1"/>
      </w:tblPr>
      <w:tblGrid>
        <w:gridCol w:w="2103"/>
        <w:gridCol w:w="1724"/>
      </w:tblGrid>
      <w:tr w:rsidR="00A17AB1" w14:paraId="5EB7C9FD" w14:textId="77777777">
        <w:tc>
          <w:tcPr>
            <w:tcW w:w="2103" w:type="dxa"/>
            <w:shd w:val="clear" w:color="auto" w:fill="auto"/>
          </w:tcPr>
          <w:p w14:paraId="728624E8" w14:textId="77777777" w:rsidR="00A17AB1" w:rsidRDefault="00A17AB1">
            <w:pPr>
              <w:tabs>
                <w:tab w:val="left" w:pos="2029"/>
              </w:tabs>
              <w:jc w:val="center"/>
              <w:rPr>
                <w:b/>
                <w:bCs/>
              </w:rPr>
            </w:pPr>
            <w:r>
              <w:rPr>
                <w:b/>
                <w:bCs/>
              </w:rPr>
              <w:t>NAMA</w:t>
            </w:r>
          </w:p>
        </w:tc>
        <w:tc>
          <w:tcPr>
            <w:tcW w:w="1724" w:type="dxa"/>
            <w:shd w:val="clear" w:color="auto" w:fill="auto"/>
          </w:tcPr>
          <w:p w14:paraId="1F42BF76" w14:textId="77777777" w:rsidR="00A17AB1" w:rsidRDefault="00A17AB1">
            <w:pPr>
              <w:tabs>
                <w:tab w:val="left" w:pos="2029"/>
              </w:tabs>
              <w:jc w:val="center"/>
              <w:rPr>
                <w:b/>
                <w:bCs/>
              </w:rPr>
            </w:pPr>
            <w:r>
              <w:rPr>
                <w:b/>
                <w:bCs/>
              </w:rPr>
              <w:t>NPM</w:t>
            </w:r>
          </w:p>
        </w:tc>
      </w:tr>
      <w:tr w:rsidR="00A17AB1" w14:paraId="55F442E4" w14:textId="77777777">
        <w:tc>
          <w:tcPr>
            <w:tcW w:w="2103" w:type="dxa"/>
            <w:shd w:val="clear" w:color="auto" w:fill="auto"/>
          </w:tcPr>
          <w:p w14:paraId="4BCCCA9F" w14:textId="77777777" w:rsidR="00A17AB1" w:rsidRDefault="00A17AB1">
            <w:pPr>
              <w:tabs>
                <w:tab w:val="left" w:pos="2029"/>
              </w:tabs>
              <w:jc w:val="center"/>
            </w:pPr>
            <w:r>
              <w:t>Ari Iwanto</w:t>
            </w:r>
          </w:p>
        </w:tc>
        <w:tc>
          <w:tcPr>
            <w:tcW w:w="1724" w:type="dxa"/>
            <w:shd w:val="clear" w:color="auto" w:fill="auto"/>
          </w:tcPr>
          <w:p w14:paraId="0A861C31" w14:textId="77777777" w:rsidR="00A17AB1" w:rsidRPr="001C3E36" w:rsidRDefault="00A17AB1">
            <w:pPr>
              <w:tabs>
                <w:tab w:val="left" w:pos="2029"/>
              </w:tabs>
              <w:jc w:val="center"/>
            </w:pPr>
            <w:r w:rsidRPr="001C3E36">
              <w:t>2212120078</w:t>
            </w:r>
          </w:p>
        </w:tc>
      </w:tr>
      <w:tr w:rsidR="00A17AB1" w14:paraId="31DB576B" w14:textId="77777777">
        <w:tc>
          <w:tcPr>
            <w:tcW w:w="2103" w:type="dxa"/>
            <w:shd w:val="clear" w:color="auto" w:fill="auto"/>
          </w:tcPr>
          <w:p w14:paraId="16B6FC6C" w14:textId="77777777" w:rsidR="00A17AB1" w:rsidRDefault="00A17AB1">
            <w:pPr>
              <w:tabs>
                <w:tab w:val="left" w:pos="2029"/>
              </w:tabs>
              <w:jc w:val="center"/>
            </w:pPr>
            <w:r>
              <w:t>Ervina Puspitasari</w:t>
            </w:r>
          </w:p>
        </w:tc>
        <w:tc>
          <w:tcPr>
            <w:tcW w:w="1724" w:type="dxa"/>
            <w:shd w:val="clear" w:color="auto" w:fill="auto"/>
          </w:tcPr>
          <w:p w14:paraId="04FE7BAD" w14:textId="77777777" w:rsidR="00A17AB1" w:rsidRPr="001C3E36" w:rsidRDefault="00A17AB1">
            <w:pPr>
              <w:tabs>
                <w:tab w:val="left" w:pos="2029"/>
              </w:tabs>
              <w:jc w:val="center"/>
            </w:pPr>
            <w:r w:rsidRPr="001C3E36">
              <w:t>2212120074</w:t>
            </w:r>
          </w:p>
        </w:tc>
      </w:tr>
      <w:tr w:rsidR="00A17AB1" w14:paraId="4F09761F" w14:textId="77777777">
        <w:tc>
          <w:tcPr>
            <w:tcW w:w="2103" w:type="dxa"/>
            <w:shd w:val="clear" w:color="auto" w:fill="auto"/>
          </w:tcPr>
          <w:p w14:paraId="46B566DB" w14:textId="77777777" w:rsidR="00A17AB1" w:rsidRDefault="00A17AB1">
            <w:pPr>
              <w:tabs>
                <w:tab w:val="left" w:pos="2029"/>
              </w:tabs>
              <w:jc w:val="center"/>
            </w:pPr>
            <w:r>
              <w:t>Ilham Nur Khaitami</w:t>
            </w:r>
          </w:p>
        </w:tc>
        <w:tc>
          <w:tcPr>
            <w:tcW w:w="1724" w:type="dxa"/>
            <w:shd w:val="clear" w:color="auto" w:fill="auto"/>
          </w:tcPr>
          <w:p w14:paraId="3837C83C" w14:textId="77777777" w:rsidR="00A17AB1" w:rsidRPr="001C3E36" w:rsidRDefault="00A17AB1">
            <w:pPr>
              <w:tabs>
                <w:tab w:val="left" w:pos="2029"/>
              </w:tabs>
              <w:jc w:val="center"/>
            </w:pPr>
            <w:r w:rsidRPr="001C3E36">
              <w:t>2212120070</w:t>
            </w:r>
          </w:p>
        </w:tc>
      </w:tr>
    </w:tbl>
    <w:p w14:paraId="39055250" w14:textId="77777777" w:rsidR="00A17AB1" w:rsidRDefault="00A17AB1" w:rsidP="00114D7E">
      <w:pPr>
        <w:tabs>
          <w:tab w:val="left" w:pos="2029"/>
        </w:tabs>
        <w:jc w:val="center"/>
      </w:pPr>
    </w:p>
    <w:p w14:paraId="1C3392BE" w14:textId="77777777" w:rsidR="001C3E36" w:rsidRDefault="001C3E36" w:rsidP="00114D7E">
      <w:pPr>
        <w:jc w:val="center"/>
        <w:rPr>
          <w:rFonts w:ascii="Times New Roman" w:hAnsi="Times New Roman"/>
          <w:b/>
          <w:bCs/>
          <w:color w:val="000000"/>
          <w:sz w:val="32"/>
          <w:szCs w:val="32"/>
          <w:shd w:val="clear" w:color="auto" w:fill="FFFFFF"/>
        </w:rPr>
      </w:pPr>
      <w:r>
        <w:rPr>
          <w:rFonts w:ascii="Times New Roman" w:hAnsi="Times New Roman"/>
          <w:b/>
          <w:bCs/>
          <w:color w:val="000000"/>
          <w:sz w:val="32"/>
          <w:szCs w:val="32"/>
          <w:shd w:val="clear" w:color="auto" w:fill="FFFFFF"/>
        </w:rPr>
        <w:t>PROGRAM STUDI S1 AKUNTANSI</w:t>
      </w:r>
    </w:p>
    <w:p w14:paraId="01914809" w14:textId="77777777" w:rsidR="001C3E36" w:rsidRDefault="001C3E36" w:rsidP="00114D7E">
      <w:pPr>
        <w:jc w:val="center"/>
        <w:rPr>
          <w:rFonts w:ascii="Times New Roman" w:hAnsi="Times New Roman"/>
          <w:b/>
          <w:bCs/>
          <w:color w:val="000000"/>
          <w:sz w:val="32"/>
          <w:szCs w:val="32"/>
          <w:shd w:val="clear" w:color="auto" w:fill="FFFFFF"/>
        </w:rPr>
      </w:pPr>
      <w:r>
        <w:rPr>
          <w:rFonts w:ascii="Times New Roman" w:hAnsi="Times New Roman"/>
          <w:b/>
          <w:bCs/>
          <w:color w:val="000000"/>
          <w:sz w:val="32"/>
          <w:szCs w:val="32"/>
          <w:shd w:val="clear" w:color="auto" w:fill="FFFFFF"/>
        </w:rPr>
        <w:t>FAKULTAS EKONOMI DAN BISNIS</w:t>
      </w:r>
    </w:p>
    <w:p w14:paraId="3D853FE9" w14:textId="77777777" w:rsidR="001C3E36" w:rsidRDefault="001C3E36" w:rsidP="00114D7E">
      <w:pPr>
        <w:jc w:val="center"/>
        <w:rPr>
          <w:rFonts w:ascii="Times New Roman" w:hAnsi="Times New Roman"/>
          <w:b/>
          <w:bCs/>
          <w:color w:val="000000"/>
          <w:sz w:val="32"/>
          <w:szCs w:val="32"/>
          <w:shd w:val="clear" w:color="auto" w:fill="FFFFFF"/>
        </w:rPr>
      </w:pPr>
      <w:r>
        <w:rPr>
          <w:rFonts w:ascii="Times New Roman" w:hAnsi="Times New Roman"/>
          <w:b/>
          <w:bCs/>
          <w:color w:val="000000"/>
          <w:sz w:val="32"/>
          <w:szCs w:val="32"/>
          <w:shd w:val="clear" w:color="auto" w:fill="FFFFFF"/>
        </w:rPr>
        <w:t>INSTITUTE INFORMATIKA DAN BISNIS DARMAJAYA</w:t>
      </w:r>
    </w:p>
    <w:p w14:paraId="3BF1A1CA" w14:textId="77777777" w:rsidR="001C3E36" w:rsidRDefault="001C3E36" w:rsidP="00114D7E">
      <w:pPr>
        <w:jc w:val="center"/>
        <w:rPr>
          <w:rFonts w:ascii="Times New Roman" w:hAnsi="Times New Roman"/>
          <w:b/>
          <w:bCs/>
          <w:color w:val="000000"/>
          <w:sz w:val="32"/>
          <w:szCs w:val="32"/>
          <w:shd w:val="clear" w:color="auto" w:fill="FFFFFF"/>
        </w:rPr>
      </w:pPr>
      <w:r>
        <w:rPr>
          <w:rFonts w:ascii="Times New Roman" w:hAnsi="Times New Roman"/>
          <w:b/>
          <w:bCs/>
          <w:color w:val="000000"/>
          <w:sz w:val="32"/>
          <w:szCs w:val="32"/>
          <w:shd w:val="clear" w:color="auto" w:fill="FFFFFF"/>
        </w:rPr>
        <w:t>2024</w:t>
      </w:r>
    </w:p>
    <w:p w14:paraId="3FD8A703" w14:textId="77777777" w:rsidR="001C3E36" w:rsidRDefault="00E039CF" w:rsidP="00114D7E">
      <w:pPr>
        <w:tabs>
          <w:tab w:val="left" w:pos="2029"/>
        </w:tabs>
        <w:jc w:val="center"/>
        <w:rPr>
          <w:rFonts w:ascii="Times New Roman" w:hAnsi="Times New Roman"/>
          <w:b/>
          <w:bCs/>
        </w:rPr>
      </w:pPr>
      <w:r>
        <w:rPr>
          <w:rFonts w:ascii="Times New Roman" w:hAnsi="Times New Roman"/>
          <w:b/>
          <w:bCs/>
        </w:rPr>
        <w:t>BAB I</w:t>
      </w:r>
    </w:p>
    <w:p w14:paraId="758BF5C1" w14:textId="77777777" w:rsidR="00E039CF" w:rsidRDefault="00E039CF" w:rsidP="00114D7E">
      <w:pPr>
        <w:tabs>
          <w:tab w:val="left" w:pos="2029"/>
        </w:tabs>
        <w:jc w:val="center"/>
        <w:rPr>
          <w:rFonts w:ascii="Times New Roman" w:hAnsi="Times New Roman"/>
          <w:b/>
          <w:bCs/>
        </w:rPr>
      </w:pPr>
      <w:r>
        <w:rPr>
          <w:rFonts w:ascii="Times New Roman" w:hAnsi="Times New Roman"/>
          <w:b/>
          <w:bCs/>
        </w:rPr>
        <w:t>PENDAHULUAN</w:t>
      </w:r>
    </w:p>
    <w:p w14:paraId="155FDAE3" w14:textId="77777777" w:rsidR="00E039CF" w:rsidRDefault="00E039CF" w:rsidP="00114D7E">
      <w:pPr>
        <w:tabs>
          <w:tab w:val="left" w:pos="2029"/>
        </w:tabs>
        <w:jc w:val="center"/>
        <w:rPr>
          <w:rFonts w:ascii="Times New Roman" w:hAnsi="Times New Roman"/>
          <w:b/>
          <w:bCs/>
        </w:rPr>
      </w:pPr>
    </w:p>
    <w:p w14:paraId="195CEDFD" w14:textId="77777777" w:rsidR="00E039CF" w:rsidRDefault="00861147" w:rsidP="00114D7E">
      <w:pPr>
        <w:tabs>
          <w:tab w:val="left" w:pos="2029"/>
        </w:tabs>
        <w:jc w:val="both"/>
        <w:rPr>
          <w:rFonts w:ascii="Times New Roman" w:hAnsi="Times New Roman"/>
          <w:b/>
          <w:bCs/>
        </w:rPr>
      </w:pPr>
      <w:r>
        <w:rPr>
          <w:rFonts w:ascii="Times New Roman" w:hAnsi="Times New Roman"/>
          <w:b/>
          <w:bCs/>
        </w:rPr>
        <w:t>1.1 P</w:t>
      </w:r>
      <w:r w:rsidR="00360BEA">
        <w:rPr>
          <w:rFonts w:ascii="Times New Roman" w:hAnsi="Times New Roman"/>
          <w:b/>
          <w:bCs/>
        </w:rPr>
        <w:t>ENJEL</w:t>
      </w:r>
      <w:r>
        <w:rPr>
          <w:rFonts w:ascii="Times New Roman" w:hAnsi="Times New Roman"/>
          <w:b/>
          <w:bCs/>
        </w:rPr>
        <w:t>AS</w:t>
      </w:r>
      <w:r w:rsidR="00360BEA">
        <w:rPr>
          <w:rFonts w:ascii="Times New Roman" w:hAnsi="Times New Roman"/>
          <w:b/>
          <w:bCs/>
        </w:rPr>
        <w:t>A</w:t>
      </w:r>
      <w:r>
        <w:rPr>
          <w:rFonts w:ascii="Times New Roman" w:hAnsi="Times New Roman"/>
          <w:b/>
          <w:bCs/>
        </w:rPr>
        <w:t xml:space="preserve"> LAPORAN KEUANGAN PERBANKAN</w:t>
      </w:r>
    </w:p>
    <w:p w14:paraId="1D22CD3E" w14:textId="77777777" w:rsidR="00861147" w:rsidRPr="00360BEA" w:rsidRDefault="00861147" w:rsidP="00114D7E">
      <w:pPr>
        <w:tabs>
          <w:tab w:val="left" w:pos="2029"/>
        </w:tabs>
        <w:jc w:val="both"/>
        <w:rPr>
          <w:rFonts w:ascii="Times New Roman" w:hAnsi="Times New Roman"/>
        </w:rPr>
      </w:pPr>
      <w:r w:rsidRPr="00360BEA">
        <w:rPr>
          <w:rFonts w:ascii="Times New Roman" w:hAnsi="Times New Roman"/>
        </w:rPr>
        <w:t>Pengertian Laporan Keuangan Bank adalah laporan keuangan yang disusun sebagai bentuk pertanggungjawaban manajemen terhadap pihak-pihak yang berkepentingan dengan kinerja keuangan bank yang dicapai selama periode tertentu.</w:t>
      </w:r>
    </w:p>
    <w:p w14:paraId="5B287E31" w14:textId="77777777" w:rsidR="00A72448" w:rsidRPr="00360BEA" w:rsidRDefault="00A72448" w:rsidP="00114D7E">
      <w:pPr>
        <w:tabs>
          <w:tab w:val="left" w:pos="2029"/>
        </w:tabs>
        <w:jc w:val="both"/>
        <w:rPr>
          <w:rFonts w:ascii="Times New Roman" w:hAnsi="Times New Roman"/>
        </w:rPr>
      </w:pPr>
      <w:r w:rsidRPr="00360BEA">
        <w:rPr>
          <w:rFonts w:ascii="Times New Roman" w:hAnsi="Times New Roman"/>
        </w:rPr>
        <w:t>Ada 3 jenis laporan keuangan bank yaitu :</w:t>
      </w:r>
    </w:p>
    <w:p w14:paraId="3B7E0042" w14:textId="77777777" w:rsidR="00A72448" w:rsidRPr="00360BEA" w:rsidRDefault="00A72448" w:rsidP="00114D7E">
      <w:pPr>
        <w:numPr>
          <w:ilvl w:val="0"/>
          <w:numId w:val="2"/>
        </w:numPr>
        <w:tabs>
          <w:tab w:val="left" w:pos="709"/>
        </w:tabs>
        <w:jc w:val="both"/>
        <w:rPr>
          <w:rFonts w:ascii="Times New Roman" w:hAnsi="Times New Roman"/>
        </w:rPr>
      </w:pPr>
      <w:r w:rsidRPr="00360BEA">
        <w:rPr>
          <w:rFonts w:ascii="Times New Roman" w:hAnsi="Times New Roman"/>
        </w:rPr>
        <w:t>Laporan Keuangan Bulanan, Laporan keuangan bank bulanan adalah laporan keuangan bank secara individu yang merupakan gabungan antara kantor pusat bank dengan seluruh kantor bank. Laporan keuangan bulanan disajikan satu periode pada setiap akhir bulan dari Januari hingga bulan Desember.</w:t>
      </w:r>
    </w:p>
    <w:p w14:paraId="6BDCB160" w14:textId="77777777" w:rsidR="00A72448" w:rsidRPr="00360BEA" w:rsidRDefault="00A72448" w:rsidP="00114D7E">
      <w:pPr>
        <w:numPr>
          <w:ilvl w:val="0"/>
          <w:numId w:val="2"/>
        </w:numPr>
        <w:tabs>
          <w:tab w:val="left" w:pos="709"/>
        </w:tabs>
        <w:jc w:val="both"/>
        <w:rPr>
          <w:rFonts w:ascii="Times New Roman" w:hAnsi="Times New Roman"/>
        </w:rPr>
      </w:pPr>
      <w:r w:rsidRPr="00360BEA">
        <w:rPr>
          <w:rFonts w:ascii="Times New Roman" w:hAnsi="Times New Roman"/>
        </w:rPr>
        <w:t xml:space="preserve">Laporan Keuangan Triwulan, </w:t>
      </w:r>
      <w:r w:rsidR="0018158B" w:rsidRPr="00360BEA">
        <w:rPr>
          <w:rFonts w:ascii="Times New Roman" w:hAnsi="Times New Roman"/>
        </w:rPr>
        <w:t>Laporan keuangan triwulanan adalah laporan keuangan bank yang disajikan dua periode sekaligus, Yaitu posisi tanggal laporan dan posisi sebelumnya baik untuk bank yang bersangkutan maupun laporan konsolidasinya. Laporan keuangan bank triwulanan yang wajib disajikan adalah Laporan Keuangan untuk posisi akhir Maret, Juni, September, dan Desember. Laporan keuangan bank triwulanan ini disusun antara lain untuk memberikan informasi mengenai posisi keuangan, kinerja, atau hasil usaha bank, Serta informasi keuangan lainnya kepada berbagai pihak yang berkepentingan dengan perkembangan usaha bank.</w:t>
      </w:r>
    </w:p>
    <w:p w14:paraId="0C8DA212" w14:textId="77777777" w:rsidR="0018158B" w:rsidRPr="00360BEA" w:rsidRDefault="00A72448" w:rsidP="00114D7E">
      <w:pPr>
        <w:numPr>
          <w:ilvl w:val="0"/>
          <w:numId w:val="2"/>
        </w:numPr>
        <w:tabs>
          <w:tab w:val="left" w:pos="709"/>
        </w:tabs>
        <w:jc w:val="both"/>
        <w:rPr>
          <w:rFonts w:ascii="Times New Roman" w:hAnsi="Times New Roman"/>
        </w:rPr>
      </w:pPr>
      <w:r w:rsidRPr="00360BEA">
        <w:rPr>
          <w:rFonts w:ascii="Times New Roman" w:hAnsi="Times New Roman"/>
        </w:rPr>
        <w:t>Laporan Keuangan Tahunan</w:t>
      </w:r>
      <w:r w:rsidR="0018158B" w:rsidRPr="00360BEA">
        <w:rPr>
          <w:rFonts w:ascii="Times New Roman" w:hAnsi="Times New Roman"/>
        </w:rPr>
        <w:t>, Laporan keuangan bank tahunan adalah laporan keuangan bank tahunan untuk memberikan informasi berkala mengenai kondisi bank secara menyeluruh, termasuk perkembangan usaha dan kinerja bank, Seluruh informasi tersebut diharapkan dapat meningkatkan transparansi kondisi keuangan bank kepada publik dan menjaga kepercayaan masyarakat terhadap lembaga perbankan, Selain disampaikan kepada pemegang saham dan Bank Indonesia, laporan tahunan bank wajib pula disampaikan kepada lembaga lain yang berkepentingan terhadap perkembangan usaha bank, seperti:</w:t>
      </w:r>
    </w:p>
    <w:p w14:paraId="308F391F" w14:textId="77777777" w:rsidR="0018158B" w:rsidRPr="00360BEA" w:rsidRDefault="00114D7E" w:rsidP="00114D7E">
      <w:pPr>
        <w:tabs>
          <w:tab w:val="left" w:pos="709"/>
        </w:tabs>
        <w:ind w:left="720"/>
        <w:jc w:val="both"/>
        <w:rPr>
          <w:rFonts w:ascii="Times New Roman" w:hAnsi="Times New Roman"/>
        </w:rPr>
      </w:pPr>
      <w:r w:rsidRPr="00360BEA">
        <w:rPr>
          <w:rFonts w:ascii="Times New Roman" w:hAnsi="Times New Roman"/>
        </w:rPr>
        <w:tab/>
      </w:r>
      <w:r w:rsidR="0018158B" w:rsidRPr="00360BEA">
        <w:rPr>
          <w:rFonts w:ascii="Times New Roman" w:hAnsi="Times New Roman"/>
        </w:rPr>
        <w:t>- Yayasan Lembaga Konsumen Indonesia (YLKI)</w:t>
      </w:r>
    </w:p>
    <w:p w14:paraId="018F3707" w14:textId="77777777" w:rsidR="0018158B" w:rsidRPr="00360BEA" w:rsidRDefault="00114D7E" w:rsidP="00114D7E">
      <w:pPr>
        <w:tabs>
          <w:tab w:val="left" w:pos="709"/>
        </w:tabs>
        <w:ind w:left="720"/>
        <w:jc w:val="both"/>
        <w:rPr>
          <w:rFonts w:ascii="Times New Roman" w:hAnsi="Times New Roman"/>
        </w:rPr>
      </w:pPr>
      <w:r w:rsidRPr="00360BEA">
        <w:rPr>
          <w:rFonts w:ascii="Times New Roman" w:hAnsi="Times New Roman"/>
        </w:rPr>
        <w:tab/>
      </w:r>
      <w:r w:rsidR="0018158B" w:rsidRPr="00360BEA">
        <w:rPr>
          <w:rFonts w:ascii="Times New Roman" w:hAnsi="Times New Roman"/>
        </w:rPr>
        <w:t>- Lembaga pemeringkat di Indonesia</w:t>
      </w:r>
    </w:p>
    <w:p w14:paraId="6E3EB612" w14:textId="77777777" w:rsidR="0018158B" w:rsidRPr="00360BEA" w:rsidRDefault="00114D7E" w:rsidP="00114D7E">
      <w:pPr>
        <w:tabs>
          <w:tab w:val="left" w:pos="709"/>
        </w:tabs>
        <w:ind w:left="720"/>
        <w:jc w:val="both"/>
        <w:rPr>
          <w:rFonts w:ascii="Times New Roman" w:hAnsi="Times New Roman"/>
        </w:rPr>
      </w:pPr>
      <w:r w:rsidRPr="00360BEA">
        <w:rPr>
          <w:rFonts w:ascii="Times New Roman" w:hAnsi="Times New Roman"/>
        </w:rPr>
        <w:tab/>
      </w:r>
      <w:r w:rsidR="0018158B" w:rsidRPr="00360BEA">
        <w:rPr>
          <w:rFonts w:ascii="Times New Roman" w:hAnsi="Times New Roman"/>
        </w:rPr>
        <w:t>- Asosiasi perbankan di Indonesia</w:t>
      </w:r>
    </w:p>
    <w:p w14:paraId="76DBC906" w14:textId="77777777" w:rsidR="0018158B" w:rsidRPr="00360BEA" w:rsidRDefault="00114D7E" w:rsidP="00114D7E">
      <w:pPr>
        <w:tabs>
          <w:tab w:val="left" w:pos="709"/>
        </w:tabs>
        <w:ind w:left="720"/>
        <w:jc w:val="both"/>
        <w:rPr>
          <w:rFonts w:ascii="Times New Roman" w:hAnsi="Times New Roman"/>
        </w:rPr>
      </w:pPr>
      <w:r w:rsidRPr="00360BEA">
        <w:rPr>
          <w:rFonts w:ascii="Times New Roman" w:hAnsi="Times New Roman"/>
        </w:rPr>
        <w:tab/>
      </w:r>
      <w:r w:rsidR="0018158B" w:rsidRPr="00360BEA">
        <w:rPr>
          <w:rFonts w:ascii="Times New Roman" w:hAnsi="Times New Roman"/>
        </w:rPr>
        <w:t>- Institut Bankir Indonesia</w:t>
      </w:r>
    </w:p>
    <w:p w14:paraId="68BBD38D" w14:textId="77777777" w:rsidR="00360BEA" w:rsidRPr="00360BEA" w:rsidRDefault="00114D7E" w:rsidP="00360BEA">
      <w:pPr>
        <w:tabs>
          <w:tab w:val="left" w:pos="709"/>
        </w:tabs>
        <w:ind w:left="720"/>
        <w:jc w:val="both"/>
        <w:rPr>
          <w:rFonts w:ascii="Times New Roman" w:hAnsi="Times New Roman"/>
        </w:rPr>
      </w:pPr>
      <w:r w:rsidRPr="00360BEA">
        <w:rPr>
          <w:rFonts w:ascii="Times New Roman" w:hAnsi="Times New Roman"/>
        </w:rPr>
        <w:tab/>
      </w:r>
      <w:r w:rsidR="0018158B" w:rsidRPr="00360BEA">
        <w:rPr>
          <w:rFonts w:ascii="Times New Roman" w:hAnsi="Times New Roman"/>
        </w:rPr>
        <w:t>- Lembaga penelitian di bidang ekonomi dan keuangan</w:t>
      </w:r>
    </w:p>
    <w:p w14:paraId="08AFC97A" w14:textId="77777777" w:rsidR="00360BEA" w:rsidRPr="00360BEA" w:rsidRDefault="00360BEA" w:rsidP="00360BEA">
      <w:pPr>
        <w:numPr>
          <w:ilvl w:val="0"/>
          <w:numId w:val="7"/>
        </w:numPr>
        <w:shd w:val="clear" w:color="auto" w:fill="FFFFFF"/>
        <w:spacing w:after="150" w:line="390" w:lineRule="atLeast"/>
        <w:rPr>
          <w:rFonts w:ascii="Times New Roman" w:eastAsia="Times New Roman" w:hAnsi="Times New Roman"/>
          <w:color w:val="001D35"/>
          <w:kern w:val="0"/>
          <w:lang w:val="en-US"/>
        </w:rPr>
      </w:pPr>
      <w:r w:rsidRPr="00360BEA">
        <w:rPr>
          <w:rFonts w:ascii="Times New Roman" w:eastAsia="Times New Roman" w:hAnsi="Times New Roman"/>
          <w:color w:val="001D35"/>
          <w:kern w:val="0"/>
          <w:lang w:val="en-US"/>
        </w:rPr>
        <w:t>Laporan keuangan perbankan memiliki beberapa fungsi, di antaranya:</w:t>
      </w:r>
    </w:p>
    <w:p w14:paraId="5AD10D75" w14:textId="77777777" w:rsidR="00360BEA" w:rsidRPr="00360BEA" w:rsidRDefault="00360BEA" w:rsidP="00360BEA">
      <w:pPr>
        <w:shd w:val="clear" w:color="auto" w:fill="FFFFFF"/>
        <w:spacing w:after="150" w:line="390" w:lineRule="atLeast"/>
        <w:ind w:left="1440"/>
        <w:rPr>
          <w:rFonts w:ascii="Times New Roman" w:eastAsia="Times New Roman" w:hAnsi="Times New Roman"/>
          <w:color w:val="001D35"/>
          <w:kern w:val="0"/>
          <w:lang w:val="en-US"/>
        </w:rPr>
      </w:pPr>
      <w:r>
        <w:rPr>
          <w:rFonts w:ascii="Times New Roman" w:eastAsia="Times New Roman" w:hAnsi="Times New Roman"/>
          <w:color w:val="001D35"/>
          <w:kern w:val="0"/>
          <w:lang w:val="en-US"/>
        </w:rPr>
        <w:t>-</w:t>
      </w:r>
      <w:r w:rsidRPr="00360BEA">
        <w:rPr>
          <w:rFonts w:ascii="Times New Roman" w:eastAsia="Times New Roman" w:hAnsi="Times New Roman"/>
          <w:color w:val="001D35"/>
          <w:kern w:val="0"/>
          <w:lang w:val="en-US"/>
        </w:rPr>
        <w:t>Sebagai panduan bagi pemangku kepentingan untuk menilai kesehatan keuangan bank</w:t>
      </w:r>
      <w:r>
        <w:rPr>
          <w:rFonts w:ascii="Times New Roman" w:eastAsia="Times New Roman" w:hAnsi="Times New Roman"/>
          <w:color w:val="001D35"/>
          <w:kern w:val="0"/>
          <w:lang w:val="en-US"/>
        </w:rPr>
        <w:t>.</w:t>
      </w:r>
    </w:p>
    <w:p w14:paraId="20FE2DED" w14:textId="77777777" w:rsidR="00360BEA" w:rsidRPr="00360BEA" w:rsidRDefault="00360BEA" w:rsidP="00360BEA">
      <w:pPr>
        <w:shd w:val="clear" w:color="auto" w:fill="FFFFFF"/>
        <w:spacing w:after="150" w:line="390" w:lineRule="atLeast"/>
        <w:ind w:left="1440"/>
        <w:rPr>
          <w:rFonts w:ascii="Times New Roman" w:eastAsia="Times New Roman" w:hAnsi="Times New Roman"/>
          <w:color w:val="001D35"/>
          <w:kern w:val="0"/>
          <w:lang w:val="en-US"/>
        </w:rPr>
      </w:pPr>
      <w:r>
        <w:rPr>
          <w:rFonts w:ascii="Times New Roman" w:eastAsia="Times New Roman" w:hAnsi="Times New Roman"/>
          <w:color w:val="001D35"/>
          <w:kern w:val="0"/>
          <w:lang w:val="en-US"/>
        </w:rPr>
        <w:t>-</w:t>
      </w:r>
      <w:r w:rsidRPr="00360BEA">
        <w:rPr>
          <w:rFonts w:ascii="Times New Roman" w:eastAsia="Times New Roman" w:hAnsi="Times New Roman"/>
          <w:color w:val="001D35"/>
          <w:kern w:val="0"/>
          <w:lang w:val="en-US"/>
        </w:rPr>
        <w:t>Membantu investor, regulator, dan pihak-pihak terkait dalam dunia keuangan untuk memahami kondisi keuangan bank</w:t>
      </w:r>
      <w:r>
        <w:rPr>
          <w:rFonts w:ascii="Times New Roman" w:eastAsia="Times New Roman" w:hAnsi="Times New Roman"/>
          <w:color w:val="001D35"/>
          <w:kern w:val="0"/>
          <w:lang w:val="en-US"/>
        </w:rPr>
        <w:t>.</w:t>
      </w:r>
    </w:p>
    <w:p w14:paraId="5234B091" w14:textId="77777777" w:rsidR="00114D7E" w:rsidRDefault="00360BEA" w:rsidP="00661620">
      <w:pPr>
        <w:shd w:val="clear" w:color="auto" w:fill="FFFFFF"/>
        <w:spacing w:after="0" w:line="330" w:lineRule="atLeast"/>
        <w:ind w:left="1440"/>
        <w:rPr>
          <w:rFonts w:ascii="Times New Roman" w:eastAsia="Times New Roman" w:hAnsi="Times New Roman"/>
          <w:color w:val="001D35"/>
          <w:kern w:val="0"/>
          <w:lang w:val="en-US"/>
        </w:rPr>
      </w:pPr>
      <w:r>
        <w:rPr>
          <w:rFonts w:ascii="Times New Roman" w:eastAsia="Times New Roman" w:hAnsi="Times New Roman"/>
          <w:color w:val="001D35"/>
          <w:kern w:val="0"/>
          <w:lang w:val="en-US"/>
        </w:rPr>
        <w:t>-</w:t>
      </w:r>
      <w:r w:rsidRPr="00360BEA">
        <w:rPr>
          <w:rFonts w:ascii="Times New Roman" w:eastAsia="Times New Roman" w:hAnsi="Times New Roman"/>
          <w:color w:val="001D35"/>
          <w:kern w:val="0"/>
          <w:lang w:val="en-US"/>
        </w:rPr>
        <w:t>Mengidentifikasi sinyal-sinyal yang mengindikasikan stabilitas atau potensi risiko dalam operasional bank</w:t>
      </w:r>
      <w:r>
        <w:rPr>
          <w:rFonts w:ascii="Times New Roman" w:eastAsia="Times New Roman" w:hAnsi="Times New Roman"/>
          <w:color w:val="001D35"/>
          <w:kern w:val="0"/>
          <w:lang w:val="en-US"/>
        </w:rPr>
        <w:t>.</w:t>
      </w:r>
    </w:p>
    <w:p w14:paraId="4A6691DA" w14:textId="77777777" w:rsidR="00661620" w:rsidRDefault="00661620" w:rsidP="00661620">
      <w:pPr>
        <w:shd w:val="clear" w:color="auto" w:fill="FFFFFF"/>
        <w:spacing w:after="0" w:line="330" w:lineRule="atLeast"/>
        <w:ind w:left="1440"/>
        <w:rPr>
          <w:rFonts w:ascii="Times New Roman" w:eastAsia="Times New Roman" w:hAnsi="Times New Roman"/>
          <w:color w:val="001D35"/>
          <w:kern w:val="0"/>
          <w:lang w:val="en-US"/>
        </w:rPr>
      </w:pPr>
    </w:p>
    <w:p w14:paraId="5BF6369B" w14:textId="77777777" w:rsidR="00661620" w:rsidRPr="00661620" w:rsidRDefault="00661620" w:rsidP="00661620">
      <w:pPr>
        <w:shd w:val="clear" w:color="auto" w:fill="FFFFFF"/>
        <w:spacing w:after="0" w:line="330" w:lineRule="atLeast"/>
        <w:ind w:left="1440"/>
        <w:rPr>
          <w:rFonts w:ascii="Times New Roman" w:eastAsia="Times New Roman" w:hAnsi="Times New Roman"/>
          <w:color w:val="001D35"/>
          <w:kern w:val="0"/>
          <w:lang w:val="en-US"/>
        </w:rPr>
      </w:pPr>
    </w:p>
    <w:p w14:paraId="0F99AD0E" w14:textId="77777777" w:rsidR="0018158B" w:rsidRDefault="00114D7E" w:rsidP="00C6012F">
      <w:pPr>
        <w:tabs>
          <w:tab w:val="left" w:pos="709"/>
        </w:tabs>
        <w:rPr>
          <w:rFonts w:ascii="Times New Roman" w:hAnsi="Times New Roman"/>
          <w:b/>
          <w:bCs/>
        </w:rPr>
      </w:pPr>
      <w:r>
        <w:rPr>
          <w:rFonts w:ascii="Times New Roman" w:hAnsi="Times New Roman"/>
          <w:b/>
          <w:bCs/>
        </w:rPr>
        <w:t>1.2</w:t>
      </w:r>
      <w:r w:rsidR="00C6012F">
        <w:rPr>
          <w:rFonts w:ascii="Times New Roman" w:hAnsi="Times New Roman"/>
          <w:b/>
          <w:bCs/>
        </w:rPr>
        <w:t xml:space="preserve"> PENJELASAN AKUNTANSI KLIRING</w:t>
      </w:r>
    </w:p>
    <w:p w14:paraId="1590B646" w14:textId="77777777" w:rsidR="007C300D" w:rsidRPr="007C300D" w:rsidRDefault="007C300D" w:rsidP="007C300D">
      <w:pPr>
        <w:tabs>
          <w:tab w:val="left" w:pos="709"/>
        </w:tabs>
        <w:jc w:val="both"/>
        <w:rPr>
          <w:rFonts w:ascii="Times New Roman" w:hAnsi="Times New Roman"/>
        </w:rPr>
      </w:pPr>
      <w:r w:rsidRPr="007C300D">
        <w:rPr>
          <w:rFonts w:ascii="Times New Roman" w:hAnsi="Times New Roman"/>
        </w:rPr>
        <w:t>kliring adalah sebagai salah satu cara ataupun sarana perhitungan utang-piutang dalam berbagai bentuk surat berharga ataupun surat dagang dari suatu bank nasabah yang sudah digelar oleh pihak Bank Indonesia ataupun pihak lain yang sudah ditunjuk secara resmi.</w:t>
      </w:r>
    </w:p>
    <w:p w14:paraId="6BAD5A24" w14:textId="77777777" w:rsidR="007C300D" w:rsidRPr="007C300D" w:rsidRDefault="007C300D" w:rsidP="007C300D">
      <w:pPr>
        <w:tabs>
          <w:tab w:val="left" w:pos="709"/>
        </w:tabs>
        <w:jc w:val="both"/>
        <w:rPr>
          <w:rFonts w:ascii="Times New Roman" w:hAnsi="Times New Roman"/>
        </w:rPr>
      </w:pPr>
      <w:r w:rsidRPr="007C300D">
        <w:rPr>
          <w:rFonts w:ascii="Times New Roman" w:hAnsi="Times New Roman"/>
        </w:rPr>
        <w:t>Tapi dalam perkembangannya, saat ini kliring bukan hanya bisa dikerjakan secara manual, tapi bisa juga dilakukan secara otomatis ataupun dengan media elektronik tertentu</w:t>
      </w:r>
    </w:p>
    <w:p w14:paraId="7468188D" w14:textId="77777777" w:rsidR="007C300D" w:rsidRPr="007C300D" w:rsidRDefault="007C300D" w:rsidP="007C300D">
      <w:pPr>
        <w:tabs>
          <w:tab w:val="left" w:pos="709"/>
        </w:tabs>
        <w:jc w:val="both"/>
        <w:rPr>
          <w:rFonts w:ascii="Times New Roman" w:hAnsi="Times New Roman"/>
        </w:rPr>
      </w:pPr>
      <w:r w:rsidRPr="007C300D">
        <w:rPr>
          <w:rFonts w:ascii="Times New Roman" w:hAnsi="Times New Roman"/>
        </w:rPr>
        <w:t>Untuk itu, pengertian lain dari kliring adalah suatu bentuk pertukaran warkat ataupun data keuangan elektronik yang dilakukan pada setiap nasabah kliring, baik didalamnya mengatasnamakan peserta atau atas nama peserta nasabah yang setiap perhitungannya akan diselesaikan pada suatu waktu tertentu sesuai kesepakatan.</w:t>
      </w:r>
    </w:p>
    <w:p w14:paraId="5882D4A1" w14:textId="77777777" w:rsidR="007C300D" w:rsidRPr="007C300D" w:rsidRDefault="007C300D" w:rsidP="007C300D">
      <w:pPr>
        <w:tabs>
          <w:tab w:val="left" w:pos="709"/>
        </w:tabs>
        <w:jc w:val="both"/>
        <w:rPr>
          <w:rFonts w:ascii="Times New Roman" w:hAnsi="Times New Roman"/>
        </w:rPr>
      </w:pPr>
      <w:r w:rsidRPr="007C300D">
        <w:rPr>
          <w:rFonts w:ascii="Times New Roman" w:hAnsi="Times New Roman"/>
        </w:rPr>
        <w:t>Selain itu, manfaat yang bisa diberikan dalam sistem kliring dalam hal melakukan berbagai transaksi yang dilakukan oleh para </w:t>
      </w:r>
      <w:r>
        <w:rPr>
          <w:rFonts w:ascii="Times New Roman" w:hAnsi="Times New Roman"/>
        </w:rPr>
        <w:t>Pebisnis</w:t>
      </w:r>
      <w:r w:rsidRPr="007C300D">
        <w:rPr>
          <w:rFonts w:ascii="Times New Roman" w:hAnsi="Times New Roman"/>
        </w:rPr>
        <w:t> maupun masyarakat adalah:</w:t>
      </w:r>
    </w:p>
    <w:p w14:paraId="2E24049F" w14:textId="77777777" w:rsidR="007C300D" w:rsidRPr="007C300D" w:rsidRDefault="007C300D" w:rsidP="007C300D">
      <w:pPr>
        <w:numPr>
          <w:ilvl w:val="0"/>
          <w:numId w:val="4"/>
        </w:numPr>
        <w:tabs>
          <w:tab w:val="clear" w:pos="720"/>
          <w:tab w:val="left" w:pos="709"/>
        </w:tabs>
        <w:jc w:val="both"/>
        <w:rPr>
          <w:rFonts w:ascii="Times New Roman" w:hAnsi="Times New Roman"/>
        </w:rPr>
      </w:pPr>
      <w:r w:rsidRPr="007C300D">
        <w:rPr>
          <w:rFonts w:ascii="Times New Roman" w:hAnsi="Times New Roman"/>
        </w:rPr>
        <w:t>Mempercepat layanan transfer dana</w:t>
      </w:r>
    </w:p>
    <w:p w14:paraId="36D22353" w14:textId="77777777" w:rsidR="007C300D" w:rsidRPr="007C300D" w:rsidRDefault="007C300D" w:rsidP="007C300D">
      <w:pPr>
        <w:numPr>
          <w:ilvl w:val="0"/>
          <w:numId w:val="4"/>
        </w:numPr>
        <w:tabs>
          <w:tab w:val="clear" w:pos="720"/>
          <w:tab w:val="left" w:pos="709"/>
        </w:tabs>
        <w:jc w:val="both"/>
        <w:rPr>
          <w:rFonts w:ascii="Times New Roman" w:hAnsi="Times New Roman"/>
        </w:rPr>
      </w:pPr>
      <w:r w:rsidRPr="007C300D">
        <w:rPr>
          <w:rFonts w:ascii="Times New Roman" w:hAnsi="Times New Roman"/>
        </w:rPr>
        <w:t>Mengefisiensi sistem pembayaran nasional</w:t>
      </w:r>
    </w:p>
    <w:p w14:paraId="36A1FFA5" w14:textId="77777777" w:rsidR="007C300D" w:rsidRDefault="007C300D" w:rsidP="007C300D">
      <w:pPr>
        <w:numPr>
          <w:ilvl w:val="0"/>
          <w:numId w:val="4"/>
        </w:numPr>
        <w:tabs>
          <w:tab w:val="clear" w:pos="720"/>
          <w:tab w:val="left" w:pos="709"/>
        </w:tabs>
        <w:jc w:val="both"/>
        <w:rPr>
          <w:rFonts w:ascii="Times New Roman" w:hAnsi="Times New Roman"/>
        </w:rPr>
      </w:pPr>
      <w:r w:rsidRPr="007C300D">
        <w:rPr>
          <w:rFonts w:ascii="Times New Roman" w:hAnsi="Times New Roman"/>
        </w:rPr>
        <w:t>Mengakomodasi keperluan nasabah untuk melakukan kegiatan transaksi yang jumlah nya besar, baik itu oleh pihak individu ataupun perusahaan.</w:t>
      </w:r>
    </w:p>
    <w:p w14:paraId="7FD92445" w14:textId="77777777" w:rsidR="00421E7E" w:rsidRPr="00421E7E" w:rsidRDefault="00421E7E" w:rsidP="00643B5D">
      <w:pPr>
        <w:pStyle w:val="NormalWeb"/>
        <w:spacing w:after="360" w:line="240" w:lineRule="auto"/>
        <w:rPr>
          <w:color w:val="232933"/>
          <w:spacing w:val="2"/>
          <w:sz w:val="22"/>
          <w:szCs w:val="22"/>
        </w:rPr>
      </w:pPr>
      <w:r w:rsidRPr="00421E7E">
        <w:rPr>
          <w:color w:val="232933"/>
          <w:spacing w:val="2"/>
          <w:sz w:val="22"/>
          <w:szCs w:val="22"/>
        </w:rPr>
        <w:t>Beberapa jenis kliring yang dilaksanakan bank pada umumnya yaitu sebagai berikut</w:t>
      </w:r>
      <w:r>
        <w:rPr>
          <w:color w:val="232933"/>
          <w:spacing w:val="2"/>
          <w:sz w:val="22"/>
          <w:szCs w:val="22"/>
        </w:rPr>
        <w:t xml:space="preserve"> :</w:t>
      </w:r>
    </w:p>
    <w:p w14:paraId="48516845" w14:textId="77777777" w:rsidR="00421E7E" w:rsidRPr="00421E7E" w:rsidRDefault="00421E7E" w:rsidP="00643B5D">
      <w:pPr>
        <w:pStyle w:val="NormalWeb"/>
        <w:numPr>
          <w:ilvl w:val="0"/>
          <w:numId w:val="5"/>
        </w:numPr>
        <w:spacing w:after="360" w:line="240" w:lineRule="auto"/>
        <w:rPr>
          <w:color w:val="232933"/>
          <w:spacing w:val="2"/>
          <w:sz w:val="22"/>
          <w:szCs w:val="22"/>
        </w:rPr>
      </w:pPr>
      <w:r>
        <w:rPr>
          <w:color w:val="232933"/>
          <w:spacing w:val="2"/>
          <w:sz w:val="22"/>
          <w:szCs w:val="22"/>
        </w:rPr>
        <w:t xml:space="preserve">Kliring Umum, </w:t>
      </w:r>
      <w:r w:rsidRPr="00421E7E">
        <w:rPr>
          <w:color w:val="232933"/>
          <w:spacing w:val="2"/>
          <w:sz w:val="22"/>
          <w:szCs w:val="22"/>
        </w:rPr>
        <w:t>Kliring jenis ini merupakan kliring yang pelaksanaannya dilakukan oleh antar bank dan aktivitasnya berada dalam pengawasan Bank Indonesia.</w:t>
      </w:r>
    </w:p>
    <w:p w14:paraId="761A0CFC" w14:textId="77777777" w:rsidR="00421E7E" w:rsidRPr="00643B5D" w:rsidRDefault="00421E7E" w:rsidP="00643B5D">
      <w:pPr>
        <w:pStyle w:val="NormalWeb"/>
        <w:numPr>
          <w:ilvl w:val="0"/>
          <w:numId w:val="5"/>
        </w:numPr>
        <w:spacing w:after="360" w:line="240" w:lineRule="auto"/>
        <w:rPr>
          <w:color w:val="232933"/>
          <w:spacing w:val="2"/>
          <w:sz w:val="22"/>
          <w:szCs w:val="22"/>
        </w:rPr>
      </w:pPr>
      <w:r>
        <w:rPr>
          <w:color w:val="232933"/>
          <w:spacing w:val="2"/>
          <w:sz w:val="22"/>
          <w:szCs w:val="22"/>
        </w:rPr>
        <w:t xml:space="preserve">Kliring Lokal, </w:t>
      </w:r>
      <w:r w:rsidRPr="00421E7E">
        <w:rPr>
          <w:color w:val="232933"/>
          <w:spacing w:val="2"/>
          <w:sz w:val="22"/>
          <w:szCs w:val="22"/>
        </w:rPr>
        <w:t>Merupakan bentuk aktivitas kliring yang dilakukan antar bank namun sesuai dengan peraturan yang diterapkan di area tersebut.</w:t>
      </w:r>
      <w:r w:rsidR="00643B5D">
        <w:rPr>
          <w:color w:val="232933"/>
          <w:spacing w:val="2"/>
          <w:sz w:val="22"/>
          <w:szCs w:val="22"/>
        </w:rPr>
        <w:t xml:space="preserve"> </w:t>
      </w:r>
      <w:r w:rsidRPr="00643B5D">
        <w:rPr>
          <w:color w:val="232933"/>
          <w:spacing w:val="2"/>
          <w:sz w:val="22"/>
          <w:szCs w:val="22"/>
        </w:rPr>
        <w:t>Sehingga akan terbatas pada wilayah yang memiliki kesepakatan bersama saja.</w:t>
      </w:r>
    </w:p>
    <w:p w14:paraId="60710B4B" w14:textId="77777777" w:rsidR="00421E7E" w:rsidRDefault="00643B5D" w:rsidP="00643B5D">
      <w:pPr>
        <w:pStyle w:val="NormalWeb"/>
        <w:numPr>
          <w:ilvl w:val="0"/>
          <w:numId w:val="5"/>
        </w:numPr>
        <w:spacing w:after="360" w:line="240" w:lineRule="auto"/>
        <w:rPr>
          <w:color w:val="232933"/>
          <w:spacing w:val="2"/>
          <w:sz w:val="22"/>
          <w:szCs w:val="22"/>
        </w:rPr>
      </w:pPr>
      <w:r>
        <w:rPr>
          <w:color w:val="232933"/>
          <w:spacing w:val="2"/>
          <w:sz w:val="22"/>
          <w:szCs w:val="22"/>
        </w:rPr>
        <w:t>Kliring antar cabang, k</w:t>
      </w:r>
      <w:r w:rsidR="00421E7E" w:rsidRPr="00421E7E">
        <w:rPr>
          <w:color w:val="232933"/>
          <w:spacing w:val="2"/>
          <w:sz w:val="22"/>
          <w:szCs w:val="22"/>
        </w:rPr>
        <w:t>liring ini dapat dilakukan oleh cabang bank yang satu pada cabang bank yang lain dalam satu wilayah</w:t>
      </w:r>
      <w:r>
        <w:rPr>
          <w:color w:val="232933"/>
          <w:spacing w:val="2"/>
          <w:sz w:val="22"/>
          <w:szCs w:val="22"/>
        </w:rPr>
        <w:t xml:space="preserve">, </w:t>
      </w:r>
      <w:r w:rsidR="00421E7E" w:rsidRPr="00643B5D">
        <w:rPr>
          <w:color w:val="232933"/>
          <w:spacing w:val="2"/>
          <w:sz w:val="22"/>
          <w:szCs w:val="22"/>
        </w:rPr>
        <w:t>Sehingga aktivitas tersebut hanya dilakukan sesuai aturan yang ditetapkan oleh bank itu sendiri.</w:t>
      </w:r>
    </w:p>
    <w:p w14:paraId="6BCB1DBA" w14:textId="77777777" w:rsidR="001B2263" w:rsidRDefault="00257C83" w:rsidP="001B2263">
      <w:pPr>
        <w:pStyle w:val="NormalWeb"/>
        <w:spacing w:after="360" w:line="240" w:lineRule="auto"/>
        <w:rPr>
          <w:color w:val="232933"/>
          <w:spacing w:val="2"/>
          <w:sz w:val="22"/>
          <w:szCs w:val="22"/>
        </w:rPr>
      </w:pPr>
      <w:r>
        <w:rPr>
          <w:color w:val="232933"/>
          <w:spacing w:val="2"/>
          <w:sz w:val="22"/>
          <w:szCs w:val="22"/>
        </w:rPr>
        <w:t>Warkat dan dokumen kliring:</w:t>
      </w:r>
    </w:p>
    <w:p w14:paraId="6A404E78" w14:textId="77777777" w:rsidR="00257C83" w:rsidRDefault="002D7047" w:rsidP="002D7047">
      <w:pPr>
        <w:pStyle w:val="NormalWeb"/>
        <w:spacing w:after="360" w:line="240" w:lineRule="auto"/>
        <w:rPr>
          <w:rStyle w:val="a"/>
          <w:color w:val="232933"/>
          <w:spacing w:val="2"/>
          <w:sz w:val="22"/>
          <w:szCs w:val="22"/>
        </w:rPr>
      </w:pPr>
      <w:r w:rsidRPr="002D7047">
        <w:rPr>
          <w:rStyle w:val="a"/>
          <w:color w:val="000000"/>
          <w:sz w:val="22"/>
          <w:szCs w:val="22"/>
          <w:bdr w:val="none" w:sz="0" w:space="0" w:color="auto" w:frame="1"/>
          <w:shd w:val="clear" w:color="auto" w:fill="FFFFFF"/>
        </w:rPr>
        <w:t>Warkat Adalah alat pembayaran bukan tunai yang diperhitungkan atas beban atau</w:t>
      </w:r>
      <w:r w:rsidR="00257C83">
        <w:rPr>
          <w:rStyle w:val="a"/>
          <w:color w:val="000000"/>
          <w:sz w:val="22"/>
          <w:szCs w:val="22"/>
          <w:bdr w:val="none" w:sz="0" w:space="0" w:color="auto" w:frame="1"/>
          <w:shd w:val="clear" w:color="auto" w:fill="FFFFFF"/>
        </w:rPr>
        <w:t xml:space="preserve"> </w:t>
      </w:r>
      <w:r w:rsidRPr="002D7047">
        <w:rPr>
          <w:rStyle w:val="a"/>
          <w:color w:val="000000"/>
          <w:sz w:val="22"/>
          <w:szCs w:val="22"/>
          <w:bdr w:val="none" w:sz="0" w:space="0" w:color="auto" w:frame="1"/>
          <w:shd w:val="clear" w:color="auto" w:fill="FFFFFF"/>
        </w:rPr>
        <w:t>untuk untung rekening na</w:t>
      </w:r>
      <w:r w:rsidR="001B2263">
        <w:rPr>
          <w:rStyle w:val="a"/>
          <w:color w:val="000000"/>
          <w:sz w:val="22"/>
          <w:szCs w:val="22"/>
          <w:bdr w:val="none" w:sz="0" w:space="0" w:color="auto" w:frame="1"/>
          <w:shd w:val="clear" w:color="auto" w:fill="FFFFFF"/>
        </w:rPr>
        <w:t>sabah atau bank melalui kliring</w:t>
      </w:r>
      <w:r w:rsidR="00257C83" w:rsidRPr="00257C83">
        <w:rPr>
          <w:rStyle w:val="l6"/>
          <w:color w:val="000000"/>
          <w:sz w:val="22"/>
          <w:szCs w:val="22"/>
          <w:bdr w:val="none" w:sz="0" w:space="0" w:color="auto" w:frame="1"/>
          <w:shd w:val="clear" w:color="auto" w:fill="FFFFFF"/>
        </w:rPr>
        <w:t>.</w:t>
      </w:r>
      <w:r w:rsidRPr="002D7047">
        <w:rPr>
          <w:rStyle w:val="a"/>
          <w:color w:val="000000"/>
          <w:sz w:val="22"/>
          <w:szCs w:val="22"/>
          <w:bdr w:val="none" w:sz="0" w:space="0" w:color="auto" w:frame="1"/>
          <w:shd w:val="clear" w:color="auto" w:fill="FFFFFF"/>
        </w:rPr>
        <w:t xml:space="preserve"> Warkat yang dapat diperhitungkan</w:t>
      </w:r>
      <w:r w:rsidR="00257C83">
        <w:rPr>
          <w:rStyle w:val="a"/>
          <w:color w:val="000000"/>
          <w:sz w:val="22"/>
          <w:szCs w:val="22"/>
          <w:bdr w:val="none" w:sz="0" w:space="0" w:color="auto" w:frame="1"/>
          <w:shd w:val="clear" w:color="auto" w:fill="FFFFFF"/>
        </w:rPr>
        <w:t xml:space="preserve"> </w:t>
      </w:r>
      <w:r w:rsidRPr="002D7047">
        <w:rPr>
          <w:rStyle w:val="a"/>
          <w:color w:val="000000"/>
          <w:sz w:val="22"/>
          <w:szCs w:val="22"/>
          <w:bdr w:val="none" w:sz="0" w:space="0" w:color="auto" w:frame="1"/>
          <w:shd w:val="clear" w:color="auto" w:fill="FFFFFF"/>
        </w:rPr>
        <w:t>dalam kliring otomasi adalah:</w:t>
      </w:r>
    </w:p>
    <w:p w14:paraId="400F52FF" w14:textId="77777777" w:rsidR="00257C83" w:rsidRPr="00257C83" w:rsidRDefault="00257C83" w:rsidP="002D7047">
      <w:pPr>
        <w:pStyle w:val="NormalWeb"/>
        <w:numPr>
          <w:ilvl w:val="0"/>
          <w:numId w:val="7"/>
        </w:numPr>
        <w:spacing w:after="360" w:line="240" w:lineRule="auto"/>
        <w:rPr>
          <w:rStyle w:val="a"/>
          <w:color w:val="232933"/>
          <w:spacing w:val="2"/>
          <w:sz w:val="22"/>
          <w:szCs w:val="22"/>
        </w:rPr>
      </w:pPr>
      <w:r>
        <w:rPr>
          <w:rStyle w:val="a"/>
          <w:color w:val="000000"/>
          <w:sz w:val="22"/>
          <w:szCs w:val="22"/>
          <w:bdr w:val="none" w:sz="0" w:space="0" w:color="auto" w:frame="1"/>
          <w:shd w:val="clear" w:color="auto" w:fill="FFFFFF"/>
        </w:rPr>
        <w:t xml:space="preserve">Cek adalah </w:t>
      </w:r>
      <w:r w:rsidR="002D7047" w:rsidRPr="002D7047">
        <w:rPr>
          <w:rStyle w:val="a"/>
          <w:color w:val="000000"/>
          <w:sz w:val="22"/>
          <w:szCs w:val="22"/>
          <w:bdr w:val="none" w:sz="0" w:space="0" w:color="auto" w:frame="1"/>
          <w:shd w:val="clear" w:color="auto" w:fill="FFFFFF"/>
        </w:rPr>
        <w:t>sebagaimana diatur dalam Kitab Undang-Undang Hukum Dagang(KUHD) termasuk cek dividen, cek perjalanan, cek cinderamata, dan jenis cek lainnya yang penggunaannya dalam kliring d</w:t>
      </w:r>
      <w:r w:rsidR="002D7047" w:rsidRPr="002D7047">
        <w:rPr>
          <w:rStyle w:val="l6"/>
          <w:color w:val="000000"/>
          <w:sz w:val="22"/>
          <w:szCs w:val="22"/>
          <w:bdr w:val="none" w:sz="0" w:space="0" w:color="auto" w:frame="1"/>
          <w:shd w:val="clear" w:color="auto" w:fill="FFFFFF"/>
        </w:rPr>
        <w:t>isetujui oleh Bank Indonesia.</w:t>
      </w:r>
    </w:p>
    <w:p w14:paraId="26EFCEB7" w14:textId="77777777" w:rsidR="00257C83" w:rsidRDefault="002D7047" w:rsidP="002D7047">
      <w:pPr>
        <w:pStyle w:val="NormalWeb"/>
        <w:numPr>
          <w:ilvl w:val="0"/>
          <w:numId w:val="7"/>
        </w:numPr>
        <w:spacing w:after="360" w:line="240" w:lineRule="auto"/>
        <w:rPr>
          <w:rStyle w:val="l6"/>
          <w:color w:val="232933"/>
          <w:spacing w:val="2"/>
          <w:sz w:val="22"/>
          <w:szCs w:val="22"/>
        </w:rPr>
      </w:pPr>
      <w:r w:rsidRPr="00257C83">
        <w:rPr>
          <w:rStyle w:val="a"/>
          <w:color w:val="000000"/>
          <w:sz w:val="22"/>
          <w:szCs w:val="22"/>
          <w:bdr w:val="none" w:sz="0" w:space="0" w:color="auto" w:frame="1"/>
          <w:shd w:val="clear" w:color="auto" w:fill="FFFFFF"/>
        </w:rPr>
        <w:t>Bilyet Giro </w:t>
      </w:r>
      <w:r w:rsidR="00257C83">
        <w:rPr>
          <w:rStyle w:val="a"/>
          <w:color w:val="000000"/>
          <w:sz w:val="22"/>
          <w:szCs w:val="22"/>
          <w:bdr w:val="none" w:sz="0" w:space="0" w:color="auto" w:frame="1"/>
          <w:shd w:val="clear" w:color="auto" w:fill="FFFFFF"/>
        </w:rPr>
        <w:t>a</w:t>
      </w:r>
      <w:r w:rsidRPr="00257C83">
        <w:rPr>
          <w:rStyle w:val="a"/>
          <w:color w:val="000000"/>
          <w:sz w:val="22"/>
          <w:szCs w:val="22"/>
          <w:bdr w:val="none" w:sz="0" w:space="0" w:color="auto" w:frame="1"/>
          <w:shd w:val="clear" w:color="auto" w:fill="FFFFFF"/>
        </w:rPr>
        <w:t>dalah surat perintah dari nasabah kepada bank penyimpan dana untuk</w:t>
      </w:r>
      <w:r w:rsidR="00257C83">
        <w:rPr>
          <w:rStyle w:val="a"/>
          <w:color w:val="000000"/>
          <w:sz w:val="22"/>
          <w:szCs w:val="22"/>
          <w:bdr w:val="none" w:sz="0" w:space="0" w:color="auto" w:frame="1"/>
          <w:shd w:val="clear" w:color="auto" w:fill="FFFFFF"/>
        </w:rPr>
        <w:t xml:space="preserve"> </w:t>
      </w:r>
      <w:r w:rsidRPr="00257C83">
        <w:rPr>
          <w:rStyle w:val="a"/>
          <w:color w:val="000000"/>
          <w:sz w:val="22"/>
          <w:szCs w:val="22"/>
          <w:bdr w:val="none" w:sz="0" w:space="0" w:color="auto" w:frame="1"/>
          <w:shd w:val="clear" w:color="auto" w:fill="FFFFFF"/>
        </w:rPr>
        <w:t>memindah</w:t>
      </w:r>
      <w:r w:rsidR="00257C83">
        <w:rPr>
          <w:rStyle w:val="a"/>
          <w:color w:val="000000"/>
          <w:sz w:val="22"/>
          <w:szCs w:val="22"/>
          <w:bdr w:val="none" w:sz="0" w:space="0" w:color="auto" w:frame="1"/>
          <w:shd w:val="clear" w:color="auto" w:fill="FFFFFF"/>
        </w:rPr>
        <w:t xml:space="preserve"> </w:t>
      </w:r>
      <w:r w:rsidRPr="00257C83">
        <w:rPr>
          <w:rStyle w:val="a"/>
          <w:color w:val="000000"/>
          <w:sz w:val="22"/>
          <w:szCs w:val="22"/>
          <w:bdr w:val="none" w:sz="0" w:space="0" w:color="auto" w:frame="1"/>
          <w:shd w:val="clear" w:color="auto" w:fill="FFFFFF"/>
        </w:rPr>
        <w:t>bukukan sejumlah dana dari rekening yang bersangkutan kepada rekening pemegang yang disebutkan n</w:t>
      </w:r>
      <w:r w:rsidRPr="00257C83">
        <w:rPr>
          <w:rStyle w:val="l6"/>
          <w:color w:val="000000"/>
          <w:sz w:val="22"/>
          <w:szCs w:val="22"/>
          <w:bdr w:val="none" w:sz="0" w:space="0" w:color="auto" w:frame="1"/>
          <w:shd w:val="clear" w:color="auto" w:fill="FFFFFF"/>
        </w:rPr>
        <w:t>amanya termasuk Bilyet Giro Bank Indonesia.</w:t>
      </w:r>
    </w:p>
    <w:p w14:paraId="58DA004C" w14:textId="77777777" w:rsidR="00257C83" w:rsidRPr="00257C83" w:rsidRDefault="002D7047" w:rsidP="002D7047">
      <w:pPr>
        <w:pStyle w:val="NormalWeb"/>
        <w:numPr>
          <w:ilvl w:val="0"/>
          <w:numId w:val="7"/>
        </w:numPr>
        <w:spacing w:after="360" w:line="240" w:lineRule="auto"/>
        <w:rPr>
          <w:rStyle w:val="a"/>
          <w:color w:val="232933"/>
          <w:spacing w:val="2"/>
          <w:sz w:val="22"/>
          <w:szCs w:val="22"/>
        </w:rPr>
      </w:pPr>
      <w:r w:rsidRPr="00257C83">
        <w:rPr>
          <w:rStyle w:val="a"/>
          <w:color w:val="000000"/>
          <w:sz w:val="22"/>
          <w:szCs w:val="22"/>
          <w:bdr w:val="none" w:sz="0" w:space="0" w:color="auto" w:frame="1"/>
          <w:shd w:val="clear" w:color="auto" w:fill="FFFFFF"/>
        </w:rPr>
        <w:t>Wesel Bank Untuk Transfer (WBU</w:t>
      </w:r>
      <w:r w:rsidR="00257C83">
        <w:rPr>
          <w:rStyle w:val="a"/>
          <w:color w:val="000000"/>
          <w:sz w:val="22"/>
          <w:szCs w:val="22"/>
          <w:bdr w:val="none" w:sz="0" w:space="0" w:color="auto" w:frame="1"/>
          <w:shd w:val="clear" w:color="auto" w:fill="FFFFFF"/>
        </w:rPr>
        <w:t>T) a</w:t>
      </w:r>
      <w:r w:rsidRPr="00257C83">
        <w:rPr>
          <w:rStyle w:val="a"/>
          <w:color w:val="000000"/>
          <w:sz w:val="22"/>
          <w:szCs w:val="22"/>
          <w:bdr w:val="none" w:sz="0" w:space="0" w:color="auto" w:frame="1"/>
          <w:shd w:val="clear" w:color="auto" w:fill="FFFFFF"/>
        </w:rPr>
        <w:t>dalah wesel sebagaimana diatur dalam KUHD</w:t>
      </w:r>
      <w:r w:rsidR="00257C83">
        <w:rPr>
          <w:rStyle w:val="a"/>
          <w:color w:val="000000"/>
          <w:sz w:val="22"/>
          <w:szCs w:val="22"/>
          <w:bdr w:val="none" w:sz="0" w:space="0" w:color="auto" w:frame="1"/>
          <w:shd w:val="clear" w:color="auto" w:fill="FFFFFF"/>
        </w:rPr>
        <w:t xml:space="preserve"> </w:t>
      </w:r>
      <w:r w:rsidRPr="00257C83">
        <w:rPr>
          <w:rStyle w:val="a"/>
          <w:color w:val="000000"/>
          <w:sz w:val="22"/>
          <w:szCs w:val="22"/>
          <w:bdr w:val="none" w:sz="0" w:space="0" w:color="auto" w:frame="1"/>
          <w:shd w:val="clear" w:color="auto" w:fill="FFFFFF"/>
        </w:rPr>
        <w:t>yang diterbitkan oleh bank khusus untuk sarana transfer</w:t>
      </w:r>
    </w:p>
    <w:p w14:paraId="3E4A37D4" w14:textId="77777777" w:rsidR="00257C83" w:rsidRDefault="002D7047" w:rsidP="00257C83">
      <w:pPr>
        <w:pStyle w:val="NormalWeb"/>
        <w:numPr>
          <w:ilvl w:val="0"/>
          <w:numId w:val="7"/>
        </w:numPr>
        <w:spacing w:after="360" w:line="240" w:lineRule="auto"/>
        <w:rPr>
          <w:rStyle w:val="a"/>
          <w:color w:val="232933"/>
          <w:spacing w:val="2"/>
          <w:sz w:val="22"/>
          <w:szCs w:val="22"/>
        </w:rPr>
      </w:pPr>
      <w:r w:rsidRPr="00257C83">
        <w:rPr>
          <w:rStyle w:val="a"/>
          <w:color w:val="000000"/>
          <w:sz w:val="22"/>
          <w:szCs w:val="22"/>
          <w:bdr w:val="none" w:sz="0" w:space="0" w:color="auto" w:frame="1"/>
          <w:shd w:val="clear" w:color="auto" w:fill="FFFFFF"/>
        </w:rPr>
        <w:t>Surat Bukti Penerimaan Transfer (SBPT) Adalah surat bukti penerimaan transfer dari luarkota yang dapat ditagihkan kepada bank peserta penerima dana transfer melalui kliring lokal.</w:t>
      </w:r>
    </w:p>
    <w:p w14:paraId="404CA026" w14:textId="77777777" w:rsidR="00257C83" w:rsidRPr="00257C83" w:rsidRDefault="00257C83" w:rsidP="00257C83">
      <w:pPr>
        <w:pStyle w:val="NormalWeb"/>
        <w:numPr>
          <w:ilvl w:val="0"/>
          <w:numId w:val="7"/>
        </w:numPr>
        <w:spacing w:after="360" w:line="240" w:lineRule="auto"/>
        <w:rPr>
          <w:rStyle w:val="a"/>
          <w:color w:val="232933"/>
          <w:spacing w:val="2"/>
          <w:sz w:val="22"/>
          <w:szCs w:val="22"/>
        </w:rPr>
      </w:pPr>
      <w:r w:rsidRPr="00257C83">
        <w:rPr>
          <w:rStyle w:val="a"/>
          <w:color w:val="000000"/>
          <w:sz w:val="22"/>
          <w:szCs w:val="22"/>
          <w:bdr w:val="none" w:sz="0" w:space="0" w:color="auto" w:frame="1"/>
          <w:shd w:val="clear" w:color="auto" w:fill="FFFFFF"/>
        </w:rPr>
        <w:t>Warkat Debet </w:t>
      </w:r>
      <w:r>
        <w:rPr>
          <w:rStyle w:val="a"/>
          <w:color w:val="000000"/>
          <w:sz w:val="22"/>
          <w:szCs w:val="22"/>
          <w:bdr w:val="none" w:sz="0" w:space="0" w:color="auto" w:frame="1"/>
          <w:shd w:val="clear" w:color="auto" w:fill="FFFFFF"/>
        </w:rPr>
        <w:t>a</w:t>
      </w:r>
      <w:r w:rsidRPr="00257C83">
        <w:rPr>
          <w:rStyle w:val="a"/>
          <w:color w:val="000000"/>
          <w:sz w:val="22"/>
          <w:szCs w:val="22"/>
          <w:bdr w:val="none" w:sz="0" w:space="0" w:color="auto" w:frame="1"/>
          <w:shd w:val="clear" w:color="auto" w:fill="FFFFFF"/>
        </w:rPr>
        <w:t>dalah warkat yang d</w:t>
      </w:r>
      <w:r w:rsidRPr="00257C83">
        <w:rPr>
          <w:rStyle w:val="l6"/>
          <w:color w:val="000000"/>
          <w:sz w:val="22"/>
          <w:szCs w:val="22"/>
          <w:bdr w:val="none" w:sz="0" w:space="0" w:color="auto" w:frame="1"/>
          <w:shd w:val="clear" w:color="auto" w:fill="FFFFFF"/>
        </w:rPr>
        <w:t>igunakan untuk menagih dana pada bank lain untuk</w:t>
      </w:r>
      <w:r>
        <w:rPr>
          <w:rStyle w:val="l6"/>
          <w:color w:val="000000"/>
          <w:sz w:val="22"/>
          <w:szCs w:val="22"/>
          <w:bdr w:val="none" w:sz="0" w:space="0" w:color="auto" w:frame="1"/>
          <w:shd w:val="clear" w:color="auto" w:fill="FFFFFF"/>
        </w:rPr>
        <w:t xml:space="preserve"> </w:t>
      </w:r>
      <w:r w:rsidRPr="00257C83">
        <w:rPr>
          <w:rStyle w:val="a"/>
          <w:color w:val="000000"/>
          <w:sz w:val="22"/>
          <w:szCs w:val="22"/>
          <w:bdr w:val="none" w:sz="0" w:space="0" w:color="auto" w:frame="1"/>
          <w:shd w:val="clear" w:color="auto" w:fill="FFFFFF"/>
        </w:rPr>
        <w:t>untung ban</w:t>
      </w:r>
      <w:r w:rsidRPr="00257C83">
        <w:rPr>
          <w:rStyle w:val="l6"/>
          <w:color w:val="000000"/>
          <w:sz w:val="22"/>
          <w:szCs w:val="22"/>
          <w:bdr w:val="none" w:sz="0" w:space="0" w:color="auto" w:frame="1"/>
          <w:shd w:val="clear" w:color="auto" w:fill="FFFFFF"/>
        </w:rPr>
        <w:t>k atau nasabah bank yang menyampaikan warkat tersebut. Warkat debet yang</w:t>
      </w:r>
      <w:r>
        <w:rPr>
          <w:rStyle w:val="l6"/>
          <w:color w:val="000000"/>
          <w:sz w:val="22"/>
          <w:szCs w:val="22"/>
          <w:bdr w:val="none" w:sz="0" w:space="0" w:color="auto" w:frame="1"/>
          <w:shd w:val="clear" w:color="auto" w:fill="FFFFFF"/>
        </w:rPr>
        <w:t xml:space="preserve"> </w:t>
      </w:r>
      <w:r w:rsidRPr="00257C83">
        <w:rPr>
          <w:rStyle w:val="a"/>
          <w:color w:val="000000"/>
          <w:sz w:val="22"/>
          <w:szCs w:val="22"/>
          <w:bdr w:val="none" w:sz="0" w:space="0" w:color="auto" w:frame="1"/>
          <w:shd w:val="clear" w:color="auto" w:fill="FFFFFF"/>
        </w:rPr>
        <w:t>dikliringkan hendaknya telah diperjanjikan dan dikonfirmasikan terlebih dahulu oleh bank</w:t>
      </w:r>
      <w:r>
        <w:rPr>
          <w:rStyle w:val="a"/>
          <w:color w:val="000000"/>
          <w:sz w:val="22"/>
          <w:szCs w:val="22"/>
          <w:bdr w:val="none" w:sz="0" w:space="0" w:color="auto" w:frame="1"/>
          <w:shd w:val="clear" w:color="auto" w:fill="FFFFFF"/>
        </w:rPr>
        <w:t xml:space="preserve"> </w:t>
      </w:r>
      <w:r w:rsidRPr="00257C83">
        <w:rPr>
          <w:rStyle w:val="a"/>
          <w:color w:val="000000"/>
          <w:sz w:val="22"/>
          <w:szCs w:val="22"/>
          <w:bdr w:val="none" w:sz="0" w:space="0" w:color="auto" w:frame="1"/>
          <w:shd w:val="clear" w:color="auto" w:fill="FFFFFF"/>
        </w:rPr>
        <w:t>yang menyampaikan warkat debet kepada bank yang akan menerima warkat debet tersebut.</w:t>
      </w:r>
    </w:p>
    <w:p w14:paraId="56A8AD5E" w14:textId="77777777" w:rsidR="001B2263" w:rsidRPr="001B2263" w:rsidRDefault="00257C83" w:rsidP="001B2263">
      <w:pPr>
        <w:pStyle w:val="NormalWeb"/>
        <w:numPr>
          <w:ilvl w:val="0"/>
          <w:numId w:val="7"/>
        </w:numPr>
        <w:spacing w:after="360" w:line="240" w:lineRule="auto"/>
        <w:rPr>
          <w:rStyle w:val="a"/>
          <w:sz w:val="22"/>
          <w:szCs w:val="22"/>
        </w:rPr>
      </w:pPr>
      <w:r>
        <w:rPr>
          <w:rStyle w:val="a"/>
          <w:color w:val="000000"/>
          <w:sz w:val="22"/>
          <w:szCs w:val="22"/>
          <w:bdr w:val="none" w:sz="0" w:space="0" w:color="auto" w:frame="1"/>
          <w:shd w:val="clear" w:color="auto" w:fill="FFFFFF"/>
        </w:rPr>
        <w:t>Warkat Kredit a</w:t>
      </w:r>
      <w:r w:rsidRPr="00257C83">
        <w:rPr>
          <w:rStyle w:val="l6"/>
          <w:color w:val="000000"/>
          <w:sz w:val="22"/>
          <w:szCs w:val="22"/>
          <w:bdr w:val="none" w:sz="0" w:space="0" w:color="auto" w:frame="1"/>
          <w:shd w:val="clear" w:color="auto" w:fill="FFFFFF"/>
        </w:rPr>
        <w:t>dalah warkat yang digunakan untuk menyampaikan dana pada bank lain</w:t>
      </w:r>
      <w:r>
        <w:rPr>
          <w:rStyle w:val="l6"/>
          <w:color w:val="000000"/>
          <w:sz w:val="22"/>
          <w:szCs w:val="22"/>
          <w:bdr w:val="none" w:sz="0" w:space="0" w:color="auto" w:frame="1"/>
          <w:shd w:val="clear" w:color="auto" w:fill="FFFFFF"/>
        </w:rPr>
        <w:t xml:space="preserve"> </w:t>
      </w:r>
      <w:r w:rsidRPr="00257C83">
        <w:rPr>
          <w:rStyle w:val="a"/>
          <w:color w:val="000000"/>
          <w:sz w:val="22"/>
          <w:szCs w:val="22"/>
          <w:bdr w:val="none" w:sz="0" w:space="0" w:color="auto" w:frame="1"/>
          <w:shd w:val="clear" w:color="auto" w:fill="FFFFFF"/>
        </w:rPr>
        <w:t>untuk untung bank ata</w:t>
      </w:r>
      <w:r>
        <w:rPr>
          <w:rStyle w:val="a"/>
          <w:color w:val="000000"/>
          <w:sz w:val="22"/>
          <w:szCs w:val="22"/>
          <w:bdr w:val="none" w:sz="0" w:space="0" w:color="auto" w:frame="1"/>
          <w:shd w:val="clear" w:color="auto" w:fill="FFFFFF"/>
        </w:rPr>
        <w:t>s</w:t>
      </w:r>
      <w:r w:rsidRPr="00257C83">
        <w:rPr>
          <w:rStyle w:val="a"/>
          <w:color w:val="000000"/>
          <w:sz w:val="22"/>
          <w:szCs w:val="22"/>
          <w:bdr w:val="none" w:sz="0" w:space="0" w:color="auto" w:frame="1"/>
          <w:shd w:val="clear" w:color="auto" w:fill="FFFFFF"/>
        </w:rPr>
        <w:t xml:space="preserve"> nasabah bank yang menerima warkat tersebut.</w:t>
      </w:r>
    </w:p>
    <w:p w14:paraId="200FC7A4" w14:textId="77777777" w:rsidR="001B2263" w:rsidRDefault="001B2263" w:rsidP="001B2263">
      <w:pPr>
        <w:pStyle w:val="NormalWeb"/>
        <w:spacing w:after="360" w:line="240" w:lineRule="auto"/>
        <w:rPr>
          <w:rStyle w:val="a"/>
          <w:sz w:val="22"/>
          <w:szCs w:val="22"/>
        </w:rPr>
      </w:pPr>
      <w:r w:rsidRPr="00257C83">
        <w:rPr>
          <w:rStyle w:val="a"/>
          <w:color w:val="000000"/>
          <w:sz w:val="22"/>
          <w:szCs w:val="22"/>
          <w:bdr w:val="none" w:sz="0" w:space="0" w:color="auto" w:frame="1"/>
          <w:shd w:val="clear" w:color="auto" w:fill="FFFFFF"/>
        </w:rPr>
        <w:t>Dokumen Kliring Merupakan dokumen yang berfungsi sebagai alat Bantu dalam proses perhitungan kliring ditempat peny</w:t>
      </w:r>
      <w:r w:rsidRPr="00257C83">
        <w:rPr>
          <w:rStyle w:val="l6"/>
          <w:color w:val="000000"/>
          <w:sz w:val="22"/>
          <w:szCs w:val="22"/>
          <w:bdr w:val="none" w:sz="0" w:space="0" w:color="auto" w:frame="1"/>
          <w:shd w:val="clear" w:color="auto" w:fill="FFFFFF"/>
        </w:rPr>
        <w:t>elenggara</w:t>
      </w:r>
      <w:r>
        <w:rPr>
          <w:rStyle w:val="l6"/>
          <w:color w:val="000000"/>
          <w:sz w:val="22"/>
          <w:szCs w:val="22"/>
          <w:bdr w:val="none" w:sz="0" w:space="0" w:color="auto" w:frame="1"/>
          <w:shd w:val="clear" w:color="auto" w:fill="FFFFFF"/>
        </w:rPr>
        <w:t>. Dokumen kliring yang digunakan untuk proses perhitungan lokal meliputi:</w:t>
      </w:r>
    </w:p>
    <w:p w14:paraId="186AA5EA" w14:textId="77777777" w:rsidR="001B2263" w:rsidRPr="001B2263" w:rsidRDefault="001B2263" w:rsidP="001B2263">
      <w:pPr>
        <w:pStyle w:val="NormalWeb"/>
        <w:numPr>
          <w:ilvl w:val="0"/>
          <w:numId w:val="11"/>
        </w:numPr>
        <w:spacing w:after="360" w:line="240" w:lineRule="auto"/>
        <w:rPr>
          <w:rStyle w:val="a"/>
          <w:sz w:val="22"/>
          <w:szCs w:val="22"/>
        </w:rPr>
      </w:pPr>
      <w:r w:rsidRPr="001B2263">
        <w:rPr>
          <w:rStyle w:val="a"/>
          <w:color w:val="000000"/>
          <w:sz w:val="22"/>
          <w:szCs w:val="22"/>
          <w:bdr w:val="none" w:sz="0" w:space="0" w:color="auto" w:frame="1"/>
          <w:shd w:val="clear" w:color="auto" w:fill="FFFFFF"/>
        </w:rPr>
        <w:t>Neraca kliring penyerahan</w:t>
      </w:r>
      <w:r>
        <w:rPr>
          <w:rStyle w:val="a"/>
          <w:color w:val="000000"/>
          <w:sz w:val="22"/>
          <w:szCs w:val="22"/>
          <w:bdr w:val="none" w:sz="0" w:space="0" w:color="auto" w:frame="1"/>
          <w:shd w:val="clear" w:color="auto" w:fill="FFFFFF"/>
        </w:rPr>
        <w:t>/pengembalian. Gabungan dokumen</w:t>
      </w:r>
      <w:r w:rsidRPr="001B2263">
        <w:rPr>
          <w:rStyle w:val="a"/>
          <w:color w:val="000000"/>
          <w:sz w:val="22"/>
          <w:szCs w:val="22"/>
          <w:bdr w:val="none" w:sz="0" w:space="0" w:color="auto" w:frame="1"/>
          <w:shd w:val="clear" w:color="auto" w:fill="FFFFFF"/>
        </w:rPr>
        <w:t xml:space="preserve"> ini disediakan oleh penyelenggara dan digunakan o</w:t>
      </w:r>
      <w:r w:rsidRPr="001B2263">
        <w:rPr>
          <w:rStyle w:val="l6"/>
          <w:color w:val="000000"/>
          <w:sz w:val="22"/>
          <w:szCs w:val="22"/>
          <w:bdr w:val="none" w:sz="0" w:space="0" w:color="auto" w:frame="1"/>
          <w:shd w:val="clear" w:color="auto" w:fill="FFFFFF"/>
        </w:rPr>
        <w:t>leh penyelenggara untuk menyusun rekapitulasi neraca kliring</w:t>
      </w:r>
      <w:r w:rsidRPr="001B2263">
        <w:rPr>
          <w:rStyle w:val="a"/>
          <w:color w:val="000000"/>
          <w:sz w:val="22"/>
          <w:szCs w:val="22"/>
          <w:bdr w:val="none" w:sz="0" w:space="0" w:color="auto" w:frame="1"/>
          <w:shd w:val="clear" w:color="auto" w:fill="FFFFFF"/>
        </w:rPr>
        <w:t> penyerah</w:t>
      </w:r>
      <w:r>
        <w:rPr>
          <w:rStyle w:val="a"/>
          <w:color w:val="000000"/>
          <w:sz w:val="22"/>
          <w:szCs w:val="22"/>
          <w:bdr w:val="none" w:sz="0" w:space="0" w:color="auto" w:frame="1"/>
          <w:shd w:val="clear" w:color="auto" w:fill="FFFFFF"/>
        </w:rPr>
        <w:t>a</w:t>
      </w:r>
      <w:r w:rsidRPr="001B2263">
        <w:rPr>
          <w:rStyle w:val="a"/>
          <w:color w:val="000000"/>
          <w:sz w:val="22"/>
          <w:szCs w:val="22"/>
          <w:bdr w:val="none" w:sz="0" w:space="0" w:color="auto" w:frame="1"/>
          <w:shd w:val="clear" w:color="auto" w:fill="FFFFFF"/>
        </w:rPr>
        <w:t>n/pengembalian. </w:t>
      </w:r>
    </w:p>
    <w:p w14:paraId="4E6BB27C" w14:textId="77777777" w:rsidR="001B2263" w:rsidRPr="001B2263" w:rsidRDefault="001B2263" w:rsidP="001B2263">
      <w:pPr>
        <w:pStyle w:val="NormalWeb"/>
        <w:numPr>
          <w:ilvl w:val="0"/>
          <w:numId w:val="11"/>
        </w:numPr>
        <w:spacing w:after="360" w:line="240" w:lineRule="auto"/>
        <w:rPr>
          <w:rStyle w:val="a"/>
          <w:sz w:val="22"/>
          <w:szCs w:val="22"/>
        </w:rPr>
      </w:pPr>
      <w:r w:rsidRPr="001B2263">
        <w:rPr>
          <w:rStyle w:val="a"/>
          <w:color w:val="000000"/>
          <w:sz w:val="22"/>
          <w:szCs w:val="22"/>
          <w:bdr w:val="none" w:sz="0" w:space="0" w:color="auto" w:frame="1"/>
          <w:shd w:val="clear" w:color="auto" w:fill="FFFFFF"/>
        </w:rPr>
        <w:t>Neraca kliring penyerahan/pengembalian.</w:t>
      </w:r>
      <w:r>
        <w:rPr>
          <w:rStyle w:val="a"/>
          <w:color w:val="000000"/>
          <w:sz w:val="22"/>
          <w:szCs w:val="22"/>
          <w:bdr w:val="none" w:sz="0" w:space="0" w:color="auto" w:frame="1"/>
          <w:shd w:val="clear" w:color="auto" w:fill="FFFFFF"/>
        </w:rPr>
        <w:t xml:space="preserve"> Dokumen </w:t>
      </w:r>
      <w:r w:rsidRPr="001B2263">
        <w:rPr>
          <w:rStyle w:val="a"/>
          <w:color w:val="000000"/>
          <w:sz w:val="22"/>
          <w:szCs w:val="22"/>
          <w:bdr w:val="none" w:sz="0" w:space="0" w:color="auto" w:frame="1"/>
          <w:shd w:val="clear" w:color="auto" w:fill="FFFFFF"/>
        </w:rPr>
        <w:t>ini disediakan oleh peserta dan</w:t>
      </w:r>
      <w:r>
        <w:rPr>
          <w:rStyle w:val="a"/>
          <w:color w:val="000000"/>
          <w:sz w:val="22"/>
          <w:szCs w:val="22"/>
          <w:bdr w:val="none" w:sz="0" w:space="0" w:color="auto" w:frame="1"/>
          <w:shd w:val="clear" w:color="auto" w:fill="FFFFFF"/>
        </w:rPr>
        <w:t xml:space="preserve"> </w:t>
      </w:r>
      <w:r w:rsidRPr="001B2263">
        <w:rPr>
          <w:rStyle w:val="a"/>
          <w:color w:val="000000"/>
          <w:sz w:val="22"/>
          <w:szCs w:val="22"/>
          <w:bdr w:val="none" w:sz="0" w:space="0" w:color="auto" w:frame="1"/>
          <w:shd w:val="clear" w:color="auto" w:fill="FFFFFF"/>
        </w:rPr>
        <w:t>digunakan oleh peserta untuk menyusun neraca kliring penyerahan/pengembalian atas dasar</w:t>
      </w:r>
      <w:r>
        <w:rPr>
          <w:rStyle w:val="a"/>
          <w:color w:val="000000"/>
          <w:sz w:val="22"/>
          <w:szCs w:val="22"/>
          <w:bdr w:val="none" w:sz="0" w:space="0" w:color="auto" w:frame="1"/>
          <w:shd w:val="clear" w:color="auto" w:fill="FFFFFF"/>
        </w:rPr>
        <w:t xml:space="preserve"> </w:t>
      </w:r>
      <w:r w:rsidRPr="001B2263">
        <w:rPr>
          <w:rStyle w:val="a"/>
          <w:color w:val="000000"/>
          <w:sz w:val="22"/>
          <w:szCs w:val="22"/>
          <w:bdr w:val="none" w:sz="0" w:space="0" w:color="auto" w:frame="1"/>
          <w:shd w:val="clear" w:color="auto" w:fill="FFFFFF"/>
        </w:rPr>
        <w:t>daftar warkat kliring penyerahan/pengembalian.</w:t>
      </w:r>
    </w:p>
    <w:p w14:paraId="14AB2CE5" w14:textId="77777777" w:rsidR="001B2263" w:rsidRPr="001B2263" w:rsidRDefault="001B2263" w:rsidP="001B2263">
      <w:pPr>
        <w:pStyle w:val="NormalWeb"/>
        <w:numPr>
          <w:ilvl w:val="0"/>
          <w:numId w:val="11"/>
        </w:numPr>
        <w:spacing w:after="360" w:line="240" w:lineRule="auto"/>
        <w:rPr>
          <w:rStyle w:val="a"/>
          <w:sz w:val="22"/>
          <w:szCs w:val="22"/>
        </w:rPr>
      </w:pPr>
      <w:r>
        <w:rPr>
          <w:rStyle w:val="a"/>
          <w:color w:val="000000"/>
          <w:sz w:val="22"/>
          <w:szCs w:val="22"/>
          <w:bdr w:val="none" w:sz="0" w:space="0" w:color="auto" w:frame="1"/>
          <w:shd w:val="clear" w:color="auto" w:fill="FFFFFF"/>
        </w:rPr>
        <w:t xml:space="preserve">Bilyet saldo kliring. Dokumen </w:t>
      </w:r>
      <w:r w:rsidRPr="001B2263">
        <w:rPr>
          <w:rStyle w:val="a"/>
          <w:color w:val="000000"/>
          <w:sz w:val="22"/>
          <w:szCs w:val="22"/>
          <w:bdr w:val="none" w:sz="0" w:space="0" w:color="auto" w:frame="1"/>
          <w:shd w:val="clear" w:color="auto" w:fill="FFFFFF"/>
        </w:rPr>
        <w:t>ini disediakan oleh peserta dan digunakan digunakan oleh peserta untuk menyusun bilyet saldo kliring berdasarkan neraca kliring penyerahan dan</w:t>
      </w:r>
      <w:r>
        <w:rPr>
          <w:rStyle w:val="a"/>
          <w:color w:val="000000"/>
          <w:sz w:val="22"/>
          <w:szCs w:val="22"/>
          <w:bdr w:val="none" w:sz="0" w:space="0" w:color="auto" w:frame="1"/>
          <w:shd w:val="clear" w:color="auto" w:fill="FFFFFF"/>
        </w:rPr>
        <w:t xml:space="preserve"> </w:t>
      </w:r>
      <w:r w:rsidRPr="001B2263">
        <w:rPr>
          <w:rStyle w:val="a"/>
          <w:color w:val="000000"/>
          <w:sz w:val="22"/>
          <w:szCs w:val="22"/>
          <w:bdr w:val="none" w:sz="0" w:space="0" w:color="auto" w:frame="1"/>
          <w:shd w:val="clear" w:color="auto" w:fill="FFFFFF"/>
        </w:rPr>
        <w:t>neraca kliring pengembalian</w:t>
      </w:r>
      <w:r>
        <w:rPr>
          <w:rStyle w:val="a"/>
          <w:color w:val="000000"/>
          <w:sz w:val="22"/>
          <w:szCs w:val="22"/>
          <w:bdr w:val="none" w:sz="0" w:space="0" w:color="auto" w:frame="1"/>
          <w:shd w:val="clear" w:color="auto" w:fill="FFFFFF"/>
        </w:rPr>
        <w:t>.</w:t>
      </w:r>
    </w:p>
    <w:p w14:paraId="05E60B9C" w14:textId="77777777" w:rsidR="002D7047" w:rsidRPr="001B2263" w:rsidRDefault="00257C83" w:rsidP="00257C83">
      <w:pPr>
        <w:pStyle w:val="NormalWeb"/>
        <w:spacing w:after="360" w:line="240" w:lineRule="auto"/>
        <w:rPr>
          <w:sz w:val="22"/>
          <w:szCs w:val="22"/>
        </w:rPr>
      </w:pPr>
      <w:r w:rsidRPr="001B2263">
        <w:rPr>
          <w:sz w:val="22"/>
          <w:szCs w:val="22"/>
        </w:rPr>
        <w:t xml:space="preserve"> </w:t>
      </w:r>
      <w:r w:rsidR="002D7047" w:rsidRPr="001B2263">
        <w:rPr>
          <w:sz w:val="22"/>
          <w:szCs w:val="22"/>
        </w:rPr>
        <w:t>Ada juga bentuk kejahatan yang terjadi dalam kegiatan kliring yaitu :</w:t>
      </w:r>
    </w:p>
    <w:p w14:paraId="65581EE9" w14:textId="77777777" w:rsidR="002D7047" w:rsidRPr="001B2263" w:rsidRDefault="002D7047" w:rsidP="002D7047">
      <w:pPr>
        <w:pStyle w:val="NormalWeb"/>
        <w:numPr>
          <w:ilvl w:val="0"/>
          <w:numId w:val="7"/>
        </w:numPr>
        <w:spacing w:after="360" w:line="240" w:lineRule="auto"/>
        <w:rPr>
          <w:sz w:val="22"/>
          <w:szCs w:val="22"/>
        </w:rPr>
      </w:pPr>
      <w:r w:rsidRPr="001B2263">
        <w:rPr>
          <w:sz w:val="22"/>
          <w:szCs w:val="22"/>
        </w:rPr>
        <w:t xml:space="preserve">Bank tetap melakukan pembayaran, walaupun warkatnya tidak sesuai dengan syarat bank teknis yang seharusnya ditolak. </w:t>
      </w:r>
    </w:p>
    <w:p w14:paraId="00A6B62D" w14:textId="77777777" w:rsidR="002D7047" w:rsidRPr="001B2263" w:rsidRDefault="002D7047" w:rsidP="002D7047">
      <w:pPr>
        <w:pStyle w:val="NormalWeb"/>
        <w:numPr>
          <w:ilvl w:val="0"/>
          <w:numId w:val="7"/>
        </w:numPr>
        <w:spacing w:after="360" w:line="240" w:lineRule="auto"/>
        <w:rPr>
          <w:sz w:val="22"/>
          <w:szCs w:val="22"/>
        </w:rPr>
      </w:pPr>
      <w:r w:rsidRPr="001B2263">
        <w:rPr>
          <w:sz w:val="22"/>
          <w:szCs w:val="22"/>
        </w:rPr>
        <w:t xml:space="preserve">Bank melakukan pembayaran tanpa melalui prosedur dan tidak memenuhi syarat pembayaran </w:t>
      </w:r>
    </w:p>
    <w:p w14:paraId="16A7948C" w14:textId="77777777" w:rsidR="002D7047" w:rsidRPr="001B2263" w:rsidRDefault="002D7047" w:rsidP="002D7047">
      <w:pPr>
        <w:pStyle w:val="NormalWeb"/>
        <w:numPr>
          <w:ilvl w:val="0"/>
          <w:numId w:val="7"/>
        </w:numPr>
        <w:spacing w:after="360" w:line="240" w:lineRule="auto"/>
        <w:rPr>
          <w:sz w:val="22"/>
          <w:szCs w:val="22"/>
        </w:rPr>
      </w:pPr>
      <w:r w:rsidRPr="001B2263">
        <w:rPr>
          <w:sz w:val="22"/>
          <w:szCs w:val="22"/>
        </w:rPr>
        <w:t>Penyalahgunaan dengan Cek</w:t>
      </w:r>
    </w:p>
    <w:p w14:paraId="35FA7B2E" w14:textId="77777777" w:rsidR="002D7047" w:rsidRPr="001B2263" w:rsidRDefault="002D7047" w:rsidP="002D7047">
      <w:pPr>
        <w:pStyle w:val="NormalWeb"/>
        <w:numPr>
          <w:ilvl w:val="0"/>
          <w:numId w:val="7"/>
        </w:numPr>
        <w:spacing w:after="360" w:line="240" w:lineRule="auto"/>
        <w:rPr>
          <w:sz w:val="22"/>
          <w:szCs w:val="22"/>
        </w:rPr>
      </w:pPr>
      <w:r w:rsidRPr="001B2263">
        <w:rPr>
          <w:sz w:val="22"/>
          <w:szCs w:val="22"/>
        </w:rPr>
        <w:t xml:space="preserve">Pengambilan Tunai. Dalam pencairan cek tunai, setelah memenuhi prosedur yang standar di teller, data legitimasi wajib tandatangani di balik cek. Penerima uang ini akan menggunakan identitas palsu untuk mempersulit penelusuran bank. </w:t>
      </w:r>
    </w:p>
    <w:p w14:paraId="65545B27" w14:textId="77777777" w:rsidR="002D7047" w:rsidRPr="001B2263" w:rsidRDefault="002D7047" w:rsidP="002D7047">
      <w:pPr>
        <w:pStyle w:val="NormalWeb"/>
        <w:numPr>
          <w:ilvl w:val="0"/>
          <w:numId w:val="7"/>
        </w:numPr>
        <w:spacing w:after="360" w:line="240" w:lineRule="auto"/>
        <w:rPr>
          <w:sz w:val="22"/>
          <w:szCs w:val="22"/>
        </w:rPr>
      </w:pPr>
      <w:r w:rsidRPr="001B2263">
        <w:rPr>
          <w:sz w:val="22"/>
          <w:szCs w:val="22"/>
        </w:rPr>
        <w:t>Penguangan melalui Kliring (Cek). Upaya pembobolan dengan cara melalui kliring biasanya jumlahnya relatif besar. Untuk itu pelaku telah mempersiapkan rekening penampungan di beberapa bank lain yang dibuka dengan identitas palsu. Bila kejahatan ini berlangsung lancar, penarikannya dilakukan tunai.</w:t>
      </w:r>
    </w:p>
    <w:p w14:paraId="7039DBAE" w14:textId="77777777" w:rsidR="007C300D" w:rsidRPr="001B2263" w:rsidRDefault="007C300D" w:rsidP="007C300D">
      <w:pPr>
        <w:tabs>
          <w:tab w:val="left" w:pos="709"/>
        </w:tabs>
        <w:jc w:val="both"/>
        <w:rPr>
          <w:rFonts w:ascii="Times New Roman" w:hAnsi="Times New Roman"/>
        </w:rPr>
      </w:pPr>
    </w:p>
    <w:p w14:paraId="76AD8D5B" w14:textId="77777777" w:rsidR="00C6012F" w:rsidRPr="001B2263" w:rsidRDefault="00C6012F" w:rsidP="00C6012F">
      <w:pPr>
        <w:tabs>
          <w:tab w:val="left" w:pos="709"/>
        </w:tabs>
        <w:jc w:val="both"/>
        <w:rPr>
          <w:rFonts w:ascii="Times New Roman" w:hAnsi="Times New Roman"/>
        </w:rPr>
      </w:pPr>
    </w:p>
    <w:sectPr w:rsidR="00C6012F" w:rsidRPr="001B2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76039"/>
    <w:multiLevelType w:val="multilevel"/>
    <w:tmpl w:val="4A6A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E2256"/>
    <w:multiLevelType w:val="multilevel"/>
    <w:tmpl w:val="FF5E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C5081"/>
    <w:multiLevelType w:val="hybridMultilevel"/>
    <w:tmpl w:val="466CF80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57A7C4E"/>
    <w:multiLevelType w:val="hybridMultilevel"/>
    <w:tmpl w:val="FC10B99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EF103F5"/>
    <w:multiLevelType w:val="hybridMultilevel"/>
    <w:tmpl w:val="0C04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93395"/>
    <w:multiLevelType w:val="multilevel"/>
    <w:tmpl w:val="2E1C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51D63"/>
    <w:multiLevelType w:val="hybridMultilevel"/>
    <w:tmpl w:val="34FA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77867"/>
    <w:multiLevelType w:val="hybridMultilevel"/>
    <w:tmpl w:val="0AACA7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D5F48"/>
    <w:multiLevelType w:val="hybridMultilevel"/>
    <w:tmpl w:val="2FDC5AA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7FC35A1"/>
    <w:multiLevelType w:val="multilevel"/>
    <w:tmpl w:val="5C24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AB370C"/>
    <w:multiLevelType w:val="hybridMultilevel"/>
    <w:tmpl w:val="2E443A70"/>
    <w:lvl w:ilvl="0" w:tplc="2EBC459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65371204">
    <w:abstractNumId w:val="2"/>
  </w:num>
  <w:num w:numId="2" w16cid:durableId="558326643">
    <w:abstractNumId w:val="3"/>
  </w:num>
  <w:num w:numId="3" w16cid:durableId="138697167">
    <w:abstractNumId w:val="0"/>
  </w:num>
  <w:num w:numId="4" w16cid:durableId="470099805">
    <w:abstractNumId w:val="9"/>
  </w:num>
  <w:num w:numId="5" w16cid:durableId="1158881693">
    <w:abstractNumId w:val="8"/>
  </w:num>
  <w:num w:numId="6" w16cid:durableId="982079076">
    <w:abstractNumId w:val="1"/>
  </w:num>
  <w:num w:numId="7" w16cid:durableId="1936546663">
    <w:abstractNumId w:val="4"/>
  </w:num>
  <w:num w:numId="8" w16cid:durableId="1487939352">
    <w:abstractNumId w:val="10"/>
  </w:num>
  <w:num w:numId="9" w16cid:durableId="1918393730">
    <w:abstractNumId w:val="5"/>
  </w:num>
  <w:num w:numId="10" w16cid:durableId="306053858">
    <w:abstractNumId w:val="7"/>
  </w:num>
  <w:num w:numId="11" w16cid:durableId="1458720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64"/>
    <w:rsid w:val="00114D7E"/>
    <w:rsid w:val="0018158B"/>
    <w:rsid w:val="001B2263"/>
    <w:rsid w:val="001C3E36"/>
    <w:rsid w:val="00257C83"/>
    <w:rsid w:val="002D7047"/>
    <w:rsid w:val="00360BEA"/>
    <w:rsid w:val="00421E7E"/>
    <w:rsid w:val="00643B5D"/>
    <w:rsid w:val="00661620"/>
    <w:rsid w:val="007C300D"/>
    <w:rsid w:val="00856364"/>
    <w:rsid w:val="00861147"/>
    <w:rsid w:val="00A17AB1"/>
    <w:rsid w:val="00A72448"/>
    <w:rsid w:val="00C00D25"/>
    <w:rsid w:val="00C6012F"/>
    <w:rsid w:val="00E039CF"/>
    <w:rsid w:val="00F149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2260DB"/>
  <w15:chartTrackingRefBased/>
  <w15:docId w15:val="{CB118E37-92D9-9A42-88E1-22DA3AEB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2">
    <w:name w:val="heading 2"/>
    <w:basedOn w:val="Normal"/>
    <w:link w:val="Heading2Char"/>
    <w:uiPriority w:val="9"/>
    <w:qFormat/>
    <w:rsid w:val="00421E7E"/>
    <w:pPr>
      <w:spacing w:before="100" w:beforeAutospacing="1" w:after="100" w:afterAutospacing="1" w:line="240" w:lineRule="auto"/>
      <w:outlineLvl w:val="1"/>
    </w:pPr>
    <w:rPr>
      <w:rFonts w:ascii="Times New Roman" w:eastAsia="Times New Roman" w:hAnsi="Times New Roman"/>
      <w:b/>
      <w:bCs/>
      <w:kern w:val="0"/>
      <w:sz w:val="36"/>
      <w:szCs w:val="36"/>
      <w:lang w:eastAsia="en-ID"/>
    </w:rPr>
  </w:style>
  <w:style w:type="paragraph" w:styleId="Heading3">
    <w:name w:val="heading 3"/>
    <w:basedOn w:val="Normal"/>
    <w:link w:val="Heading3Char"/>
    <w:uiPriority w:val="9"/>
    <w:qFormat/>
    <w:rsid w:val="00421E7E"/>
    <w:pPr>
      <w:spacing w:before="100" w:beforeAutospacing="1" w:after="100" w:afterAutospacing="1" w:line="240" w:lineRule="auto"/>
      <w:outlineLvl w:val="2"/>
    </w:pPr>
    <w:rPr>
      <w:rFonts w:ascii="Times New Roman" w:eastAsia="Times New Roman" w:hAnsi="Times New Roman"/>
      <w:b/>
      <w:bCs/>
      <w:kern w:val="0"/>
      <w:sz w:val="27"/>
      <w:szCs w:val="27"/>
      <w:lang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2448"/>
    <w:rPr>
      <w:rFonts w:ascii="Times New Roman" w:hAnsi="Times New Roman"/>
      <w:sz w:val="24"/>
      <w:szCs w:val="24"/>
    </w:rPr>
  </w:style>
  <w:style w:type="character" w:styleId="Hyperlink">
    <w:name w:val="Hyperlink"/>
    <w:uiPriority w:val="99"/>
    <w:unhideWhenUsed/>
    <w:rsid w:val="0018158B"/>
    <w:rPr>
      <w:color w:val="0563C1"/>
      <w:u w:val="single"/>
    </w:rPr>
  </w:style>
  <w:style w:type="character" w:styleId="UnresolvedMention">
    <w:name w:val="Unresolved Mention"/>
    <w:uiPriority w:val="99"/>
    <w:semiHidden/>
    <w:unhideWhenUsed/>
    <w:rsid w:val="0018158B"/>
    <w:rPr>
      <w:color w:val="605E5C"/>
      <w:shd w:val="clear" w:color="auto" w:fill="E1DFDD"/>
    </w:rPr>
  </w:style>
  <w:style w:type="character" w:customStyle="1" w:styleId="Heading2Char">
    <w:name w:val="Heading 2 Char"/>
    <w:link w:val="Heading2"/>
    <w:uiPriority w:val="9"/>
    <w:rsid w:val="00421E7E"/>
    <w:rPr>
      <w:rFonts w:ascii="Times New Roman" w:eastAsia="Times New Roman" w:hAnsi="Times New Roman"/>
      <w:b/>
      <w:bCs/>
      <w:sz w:val="36"/>
      <w:szCs w:val="36"/>
    </w:rPr>
  </w:style>
  <w:style w:type="character" w:customStyle="1" w:styleId="Heading3Char">
    <w:name w:val="Heading 3 Char"/>
    <w:link w:val="Heading3"/>
    <w:uiPriority w:val="9"/>
    <w:rsid w:val="00421E7E"/>
    <w:rPr>
      <w:rFonts w:ascii="Times New Roman" w:eastAsia="Times New Roman" w:hAnsi="Times New Roman"/>
      <w:b/>
      <w:bCs/>
      <w:sz w:val="27"/>
      <w:szCs w:val="27"/>
    </w:rPr>
  </w:style>
  <w:style w:type="character" w:styleId="Strong">
    <w:name w:val="Strong"/>
    <w:uiPriority w:val="22"/>
    <w:qFormat/>
    <w:rsid w:val="00421E7E"/>
    <w:rPr>
      <w:b/>
      <w:bCs/>
    </w:rPr>
  </w:style>
  <w:style w:type="character" w:customStyle="1" w:styleId="uv3um">
    <w:name w:val="uv3um"/>
    <w:rsid w:val="00360BEA"/>
  </w:style>
  <w:style w:type="character" w:customStyle="1" w:styleId="a">
    <w:name w:val="a"/>
    <w:rsid w:val="002D7047"/>
  </w:style>
  <w:style w:type="character" w:customStyle="1" w:styleId="l6">
    <w:name w:val="l6"/>
    <w:rsid w:val="002D7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658043">
      <w:bodyDiv w:val="1"/>
      <w:marLeft w:val="0"/>
      <w:marRight w:val="0"/>
      <w:marTop w:val="0"/>
      <w:marBottom w:val="0"/>
      <w:divBdr>
        <w:top w:val="none" w:sz="0" w:space="0" w:color="auto"/>
        <w:left w:val="none" w:sz="0" w:space="0" w:color="auto"/>
        <w:bottom w:val="none" w:sz="0" w:space="0" w:color="auto"/>
        <w:right w:val="none" w:sz="0" w:space="0" w:color="auto"/>
      </w:divBdr>
    </w:div>
    <w:div w:id="327294241">
      <w:bodyDiv w:val="1"/>
      <w:marLeft w:val="0"/>
      <w:marRight w:val="0"/>
      <w:marTop w:val="0"/>
      <w:marBottom w:val="0"/>
      <w:divBdr>
        <w:top w:val="none" w:sz="0" w:space="0" w:color="auto"/>
        <w:left w:val="none" w:sz="0" w:space="0" w:color="auto"/>
        <w:bottom w:val="none" w:sz="0" w:space="0" w:color="auto"/>
        <w:right w:val="none" w:sz="0" w:space="0" w:color="auto"/>
      </w:divBdr>
    </w:div>
    <w:div w:id="393479033">
      <w:bodyDiv w:val="1"/>
      <w:marLeft w:val="0"/>
      <w:marRight w:val="0"/>
      <w:marTop w:val="0"/>
      <w:marBottom w:val="0"/>
      <w:divBdr>
        <w:top w:val="none" w:sz="0" w:space="0" w:color="auto"/>
        <w:left w:val="none" w:sz="0" w:space="0" w:color="auto"/>
        <w:bottom w:val="none" w:sz="0" w:space="0" w:color="auto"/>
        <w:right w:val="none" w:sz="0" w:space="0" w:color="auto"/>
      </w:divBdr>
    </w:div>
    <w:div w:id="535167981">
      <w:bodyDiv w:val="1"/>
      <w:marLeft w:val="0"/>
      <w:marRight w:val="0"/>
      <w:marTop w:val="0"/>
      <w:marBottom w:val="0"/>
      <w:divBdr>
        <w:top w:val="none" w:sz="0" w:space="0" w:color="auto"/>
        <w:left w:val="none" w:sz="0" w:space="0" w:color="auto"/>
        <w:bottom w:val="none" w:sz="0" w:space="0" w:color="auto"/>
        <w:right w:val="none" w:sz="0" w:space="0" w:color="auto"/>
      </w:divBdr>
      <w:divsChild>
        <w:div w:id="885289299">
          <w:marLeft w:val="0"/>
          <w:marRight w:val="0"/>
          <w:marTop w:val="0"/>
          <w:marBottom w:val="0"/>
          <w:divBdr>
            <w:top w:val="none" w:sz="0" w:space="0" w:color="auto"/>
            <w:left w:val="none" w:sz="0" w:space="0" w:color="auto"/>
            <w:bottom w:val="none" w:sz="0" w:space="0" w:color="auto"/>
            <w:right w:val="none" w:sz="0" w:space="0" w:color="auto"/>
          </w:divBdr>
          <w:divsChild>
            <w:div w:id="121466582">
              <w:marLeft w:val="0"/>
              <w:marRight w:val="0"/>
              <w:marTop w:val="0"/>
              <w:marBottom w:val="0"/>
              <w:divBdr>
                <w:top w:val="none" w:sz="0" w:space="0" w:color="auto"/>
                <w:left w:val="none" w:sz="0" w:space="0" w:color="auto"/>
                <w:bottom w:val="none" w:sz="0" w:space="0" w:color="auto"/>
                <w:right w:val="none" w:sz="0" w:space="0" w:color="auto"/>
              </w:divBdr>
            </w:div>
          </w:divsChild>
        </w:div>
        <w:div w:id="1585260621">
          <w:marLeft w:val="0"/>
          <w:marRight w:val="0"/>
          <w:marTop w:val="0"/>
          <w:marBottom w:val="0"/>
          <w:divBdr>
            <w:top w:val="none" w:sz="0" w:space="0" w:color="auto"/>
            <w:left w:val="none" w:sz="0" w:space="0" w:color="auto"/>
            <w:bottom w:val="none" w:sz="0" w:space="0" w:color="auto"/>
            <w:right w:val="none" w:sz="0" w:space="0" w:color="auto"/>
          </w:divBdr>
          <w:divsChild>
            <w:div w:id="1987970875">
              <w:marLeft w:val="0"/>
              <w:marRight w:val="0"/>
              <w:marTop w:val="0"/>
              <w:marBottom w:val="0"/>
              <w:divBdr>
                <w:top w:val="none" w:sz="0" w:space="0" w:color="auto"/>
                <w:left w:val="none" w:sz="0" w:space="0" w:color="auto"/>
                <w:bottom w:val="none" w:sz="0" w:space="0" w:color="auto"/>
                <w:right w:val="none" w:sz="0" w:space="0" w:color="auto"/>
              </w:divBdr>
              <w:divsChild>
                <w:div w:id="5365066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609777739">
      <w:bodyDiv w:val="1"/>
      <w:marLeft w:val="0"/>
      <w:marRight w:val="0"/>
      <w:marTop w:val="0"/>
      <w:marBottom w:val="0"/>
      <w:divBdr>
        <w:top w:val="none" w:sz="0" w:space="0" w:color="auto"/>
        <w:left w:val="none" w:sz="0" w:space="0" w:color="auto"/>
        <w:bottom w:val="none" w:sz="0" w:space="0" w:color="auto"/>
        <w:right w:val="none" w:sz="0" w:space="0" w:color="auto"/>
      </w:divBdr>
    </w:div>
    <w:div w:id="633102847">
      <w:bodyDiv w:val="1"/>
      <w:marLeft w:val="0"/>
      <w:marRight w:val="0"/>
      <w:marTop w:val="0"/>
      <w:marBottom w:val="0"/>
      <w:divBdr>
        <w:top w:val="none" w:sz="0" w:space="0" w:color="auto"/>
        <w:left w:val="none" w:sz="0" w:space="0" w:color="auto"/>
        <w:bottom w:val="none" w:sz="0" w:space="0" w:color="auto"/>
        <w:right w:val="none" w:sz="0" w:space="0" w:color="auto"/>
      </w:divBdr>
    </w:div>
    <w:div w:id="863448001">
      <w:bodyDiv w:val="1"/>
      <w:marLeft w:val="0"/>
      <w:marRight w:val="0"/>
      <w:marTop w:val="0"/>
      <w:marBottom w:val="0"/>
      <w:divBdr>
        <w:top w:val="none" w:sz="0" w:space="0" w:color="auto"/>
        <w:left w:val="none" w:sz="0" w:space="0" w:color="auto"/>
        <w:bottom w:val="none" w:sz="0" w:space="0" w:color="auto"/>
        <w:right w:val="none" w:sz="0" w:space="0" w:color="auto"/>
      </w:divBdr>
      <w:divsChild>
        <w:div w:id="1351176114">
          <w:marLeft w:val="0"/>
          <w:marRight w:val="0"/>
          <w:marTop w:val="0"/>
          <w:marBottom w:val="0"/>
          <w:divBdr>
            <w:top w:val="none" w:sz="0" w:space="0" w:color="auto"/>
            <w:left w:val="none" w:sz="0" w:space="0" w:color="auto"/>
            <w:bottom w:val="none" w:sz="0" w:space="0" w:color="auto"/>
            <w:right w:val="none" w:sz="0" w:space="0" w:color="auto"/>
          </w:divBdr>
        </w:div>
      </w:divsChild>
    </w:div>
    <w:div w:id="1343360031">
      <w:bodyDiv w:val="1"/>
      <w:marLeft w:val="0"/>
      <w:marRight w:val="0"/>
      <w:marTop w:val="0"/>
      <w:marBottom w:val="0"/>
      <w:divBdr>
        <w:top w:val="none" w:sz="0" w:space="0" w:color="auto"/>
        <w:left w:val="none" w:sz="0" w:space="0" w:color="auto"/>
        <w:bottom w:val="none" w:sz="0" w:space="0" w:color="auto"/>
        <w:right w:val="none" w:sz="0" w:space="0" w:color="auto"/>
      </w:divBdr>
    </w:div>
    <w:div w:id="1418549690">
      <w:bodyDiv w:val="1"/>
      <w:marLeft w:val="0"/>
      <w:marRight w:val="0"/>
      <w:marTop w:val="0"/>
      <w:marBottom w:val="0"/>
      <w:divBdr>
        <w:top w:val="none" w:sz="0" w:space="0" w:color="auto"/>
        <w:left w:val="none" w:sz="0" w:space="0" w:color="auto"/>
        <w:bottom w:val="none" w:sz="0" w:space="0" w:color="auto"/>
        <w:right w:val="none" w:sz="0" w:space="0" w:color="auto"/>
      </w:divBdr>
    </w:div>
    <w:div w:id="1604458905">
      <w:bodyDiv w:val="1"/>
      <w:marLeft w:val="0"/>
      <w:marRight w:val="0"/>
      <w:marTop w:val="0"/>
      <w:marBottom w:val="0"/>
      <w:divBdr>
        <w:top w:val="none" w:sz="0" w:space="0" w:color="auto"/>
        <w:left w:val="none" w:sz="0" w:space="0" w:color="auto"/>
        <w:bottom w:val="none" w:sz="0" w:space="0" w:color="auto"/>
        <w:right w:val="none" w:sz="0" w:space="0" w:color="auto"/>
      </w:divBdr>
      <w:divsChild>
        <w:div w:id="617226425">
          <w:marLeft w:val="0"/>
          <w:marRight w:val="0"/>
          <w:marTop w:val="0"/>
          <w:marBottom w:val="0"/>
          <w:divBdr>
            <w:top w:val="none" w:sz="0" w:space="0" w:color="auto"/>
            <w:left w:val="none" w:sz="0" w:space="0" w:color="auto"/>
            <w:bottom w:val="none" w:sz="0" w:space="0" w:color="auto"/>
            <w:right w:val="none" w:sz="0" w:space="0" w:color="auto"/>
          </w:divBdr>
        </w:div>
        <w:div w:id="720985594">
          <w:marLeft w:val="0"/>
          <w:marRight w:val="0"/>
          <w:marTop w:val="0"/>
          <w:marBottom w:val="0"/>
          <w:divBdr>
            <w:top w:val="none" w:sz="0" w:space="0" w:color="auto"/>
            <w:left w:val="none" w:sz="0" w:space="0" w:color="auto"/>
            <w:bottom w:val="none" w:sz="0" w:space="0" w:color="auto"/>
            <w:right w:val="none" w:sz="0" w:space="0" w:color="auto"/>
          </w:divBdr>
        </w:div>
        <w:div w:id="1891452524">
          <w:marLeft w:val="0"/>
          <w:marRight w:val="0"/>
          <w:marTop w:val="0"/>
          <w:marBottom w:val="0"/>
          <w:divBdr>
            <w:top w:val="none" w:sz="0" w:space="0" w:color="auto"/>
            <w:left w:val="none" w:sz="0" w:space="0" w:color="auto"/>
            <w:bottom w:val="none" w:sz="0" w:space="0" w:color="auto"/>
            <w:right w:val="none" w:sz="0" w:space="0" w:color="auto"/>
          </w:divBdr>
        </w:div>
      </w:divsChild>
    </w:div>
    <w:div w:id="1682901195">
      <w:bodyDiv w:val="1"/>
      <w:marLeft w:val="0"/>
      <w:marRight w:val="0"/>
      <w:marTop w:val="0"/>
      <w:marBottom w:val="0"/>
      <w:divBdr>
        <w:top w:val="none" w:sz="0" w:space="0" w:color="auto"/>
        <w:left w:val="none" w:sz="0" w:space="0" w:color="auto"/>
        <w:bottom w:val="none" w:sz="0" w:space="0" w:color="auto"/>
        <w:right w:val="none" w:sz="0" w:space="0" w:color="auto"/>
      </w:divBdr>
    </w:div>
    <w:div w:id="1698579218">
      <w:bodyDiv w:val="1"/>
      <w:marLeft w:val="0"/>
      <w:marRight w:val="0"/>
      <w:marTop w:val="0"/>
      <w:marBottom w:val="0"/>
      <w:divBdr>
        <w:top w:val="none" w:sz="0" w:space="0" w:color="auto"/>
        <w:left w:val="none" w:sz="0" w:space="0" w:color="auto"/>
        <w:bottom w:val="none" w:sz="0" w:space="0" w:color="auto"/>
        <w:right w:val="none" w:sz="0" w:space="0" w:color="auto"/>
      </w:divBdr>
      <w:divsChild>
        <w:div w:id="715854298">
          <w:marLeft w:val="0"/>
          <w:marRight w:val="0"/>
          <w:marTop w:val="0"/>
          <w:marBottom w:val="0"/>
          <w:divBdr>
            <w:top w:val="none" w:sz="0" w:space="0" w:color="auto"/>
            <w:left w:val="none" w:sz="0" w:space="0" w:color="auto"/>
            <w:bottom w:val="none" w:sz="0" w:space="0" w:color="auto"/>
            <w:right w:val="none" w:sz="0" w:space="0" w:color="auto"/>
          </w:divBdr>
        </w:div>
        <w:div w:id="1590433242">
          <w:marLeft w:val="0"/>
          <w:marRight w:val="0"/>
          <w:marTop w:val="0"/>
          <w:marBottom w:val="0"/>
          <w:divBdr>
            <w:top w:val="none" w:sz="0" w:space="0" w:color="auto"/>
            <w:left w:val="none" w:sz="0" w:space="0" w:color="auto"/>
            <w:bottom w:val="none" w:sz="0" w:space="0" w:color="auto"/>
            <w:right w:val="none" w:sz="0" w:space="0" w:color="auto"/>
          </w:divBdr>
        </w:div>
        <w:div w:id="2115901613">
          <w:marLeft w:val="0"/>
          <w:marRight w:val="0"/>
          <w:marTop w:val="0"/>
          <w:marBottom w:val="0"/>
          <w:divBdr>
            <w:top w:val="none" w:sz="0" w:space="0" w:color="auto"/>
            <w:left w:val="none" w:sz="0" w:space="0" w:color="auto"/>
            <w:bottom w:val="none" w:sz="0" w:space="0" w:color="auto"/>
            <w:right w:val="none" w:sz="0" w:space="0" w:color="auto"/>
          </w:divBdr>
        </w:div>
      </w:divsChild>
    </w:div>
    <w:div w:id="1702511603">
      <w:bodyDiv w:val="1"/>
      <w:marLeft w:val="0"/>
      <w:marRight w:val="0"/>
      <w:marTop w:val="0"/>
      <w:marBottom w:val="0"/>
      <w:divBdr>
        <w:top w:val="none" w:sz="0" w:space="0" w:color="auto"/>
        <w:left w:val="none" w:sz="0" w:space="0" w:color="auto"/>
        <w:bottom w:val="none" w:sz="0" w:space="0" w:color="auto"/>
        <w:right w:val="none" w:sz="0" w:space="0" w:color="auto"/>
      </w:divBdr>
    </w:div>
    <w:div w:id="1723868279">
      <w:bodyDiv w:val="1"/>
      <w:marLeft w:val="0"/>
      <w:marRight w:val="0"/>
      <w:marTop w:val="0"/>
      <w:marBottom w:val="0"/>
      <w:divBdr>
        <w:top w:val="none" w:sz="0" w:space="0" w:color="auto"/>
        <w:left w:val="none" w:sz="0" w:space="0" w:color="auto"/>
        <w:bottom w:val="none" w:sz="0" w:space="0" w:color="auto"/>
        <w:right w:val="none" w:sz="0" w:space="0" w:color="auto"/>
      </w:divBdr>
    </w:div>
    <w:div w:id="1744259160">
      <w:bodyDiv w:val="1"/>
      <w:marLeft w:val="0"/>
      <w:marRight w:val="0"/>
      <w:marTop w:val="0"/>
      <w:marBottom w:val="0"/>
      <w:divBdr>
        <w:top w:val="none" w:sz="0" w:space="0" w:color="auto"/>
        <w:left w:val="none" w:sz="0" w:space="0" w:color="auto"/>
        <w:bottom w:val="none" w:sz="0" w:space="0" w:color="auto"/>
        <w:right w:val="none" w:sz="0" w:space="0" w:color="auto"/>
      </w:divBdr>
      <w:divsChild>
        <w:div w:id="279188959">
          <w:marLeft w:val="0"/>
          <w:marRight w:val="0"/>
          <w:marTop w:val="0"/>
          <w:marBottom w:val="0"/>
          <w:divBdr>
            <w:top w:val="none" w:sz="0" w:space="0" w:color="auto"/>
            <w:left w:val="none" w:sz="0" w:space="0" w:color="auto"/>
            <w:bottom w:val="none" w:sz="0" w:space="0" w:color="auto"/>
            <w:right w:val="none" w:sz="0" w:space="0" w:color="auto"/>
          </w:divBdr>
          <w:divsChild>
            <w:div w:id="957837147">
              <w:marLeft w:val="0"/>
              <w:marRight w:val="0"/>
              <w:marTop w:val="0"/>
              <w:marBottom w:val="0"/>
              <w:divBdr>
                <w:top w:val="none" w:sz="0" w:space="0" w:color="auto"/>
                <w:left w:val="none" w:sz="0" w:space="0" w:color="auto"/>
                <w:bottom w:val="none" w:sz="0" w:space="0" w:color="auto"/>
                <w:right w:val="none" w:sz="0" w:space="0" w:color="auto"/>
              </w:divBdr>
              <w:divsChild>
                <w:div w:id="9493868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8771925">
          <w:marLeft w:val="0"/>
          <w:marRight w:val="0"/>
          <w:marTop w:val="0"/>
          <w:marBottom w:val="0"/>
          <w:divBdr>
            <w:top w:val="none" w:sz="0" w:space="0" w:color="auto"/>
            <w:left w:val="none" w:sz="0" w:space="0" w:color="auto"/>
            <w:bottom w:val="none" w:sz="0" w:space="0" w:color="auto"/>
            <w:right w:val="none" w:sz="0" w:space="0" w:color="auto"/>
          </w:divBdr>
          <w:divsChild>
            <w:div w:id="13982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6278">
      <w:bodyDiv w:val="1"/>
      <w:marLeft w:val="0"/>
      <w:marRight w:val="0"/>
      <w:marTop w:val="0"/>
      <w:marBottom w:val="0"/>
      <w:divBdr>
        <w:top w:val="none" w:sz="0" w:space="0" w:color="auto"/>
        <w:left w:val="none" w:sz="0" w:space="0" w:color="auto"/>
        <w:bottom w:val="none" w:sz="0" w:space="0" w:color="auto"/>
        <w:right w:val="none" w:sz="0" w:space="0" w:color="auto"/>
      </w:divBdr>
    </w:div>
    <w:div w:id="1794206144">
      <w:bodyDiv w:val="1"/>
      <w:marLeft w:val="0"/>
      <w:marRight w:val="0"/>
      <w:marTop w:val="0"/>
      <w:marBottom w:val="0"/>
      <w:divBdr>
        <w:top w:val="none" w:sz="0" w:space="0" w:color="auto"/>
        <w:left w:val="none" w:sz="0" w:space="0" w:color="auto"/>
        <w:bottom w:val="none" w:sz="0" w:space="0" w:color="auto"/>
        <w:right w:val="none" w:sz="0" w:space="0" w:color="auto"/>
      </w:divBdr>
    </w:div>
    <w:div w:id="1839492661">
      <w:bodyDiv w:val="1"/>
      <w:marLeft w:val="0"/>
      <w:marRight w:val="0"/>
      <w:marTop w:val="0"/>
      <w:marBottom w:val="0"/>
      <w:divBdr>
        <w:top w:val="none" w:sz="0" w:space="0" w:color="auto"/>
        <w:left w:val="none" w:sz="0" w:space="0" w:color="auto"/>
        <w:bottom w:val="none" w:sz="0" w:space="0" w:color="auto"/>
        <w:right w:val="none" w:sz="0" w:space="0" w:color="auto"/>
      </w:divBdr>
      <w:divsChild>
        <w:div w:id="542327495">
          <w:marLeft w:val="0"/>
          <w:marRight w:val="0"/>
          <w:marTop w:val="0"/>
          <w:marBottom w:val="0"/>
          <w:divBdr>
            <w:top w:val="none" w:sz="0" w:space="0" w:color="auto"/>
            <w:left w:val="none" w:sz="0" w:space="0" w:color="auto"/>
            <w:bottom w:val="none" w:sz="0" w:space="0" w:color="auto"/>
            <w:right w:val="none" w:sz="0" w:space="0" w:color="auto"/>
          </w:divBdr>
        </w:div>
        <w:div w:id="561409669">
          <w:marLeft w:val="0"/>
          <w:marRight w:val="0"/>
          <w:marTop w:val="0"/>
          <w:marBottom w:val="0"/>
          <w:divBdr>
            <w:top w:val="none" w:sz="0" w:space="0" w:color="auto"/>
            <w:left w:val="none" w:sz="0" w:space="0" w:color="auto"/>
            <w:bottom w:val="none" w:sz="0" w:space="0" w:color="auto"/>
            <w:right w:val="none" w:sz="0" w:space="0" w:color="auto"/>
          </w:divBdr>
        </w:div>
        <w:div w:id="1785269432">
          <w:marLeft w:val="0"/>
          <w:marRight w:val="0"/>
          <w:marTop w:val="0"/>
          <w:marBottom w:val="0"/>
          <w:divBdr>
            <w:top w:val="none" w:sz="0" w:space="0" w:color="auto"/>
            <w:left w:val="none" w:sz="0" w:space="0" w:color="auto"/>
            <w:bottom w:val="none" w:sz="0" w:space="0" w:color="auto"/>
            <w:right w:val="none" w:sz="0" w:space="0" w:color="auto"/>
          </w:divBdr>
        </w:div>
      </w:divsChild>
    </w:div>
    <w:div w:id="1930189577">
      <w:bodyDiv w:val="1"/>
      <w:marLeft w:val="0"/>
      <w:marRight w:val="0"/>
      <w:marTop w:val="0"/>
      <w:marBottom w:val="0"/>
      <w:divBdr>
        <w:top w:val="none" w:sz="0" w:space="0" w:color="auto"/>
        <w:left w:val="none" w:sz="0" w:space="0" w:color="auto"/>
        <w:bottom w:val="none" w:sz="0" w:space="0" w:color="auto"/>
        <w:right w:val="none" w:sz="0" w:space="0" w:color="auto"/>
      </w:divBdr>
    </w:div>
    <w:div w:id="1970276339">
      <w:bodyDiv w:val="1"/>
      <w:marLeft w:val="0"/>
      <w:marRight w:val="0"/>
      <w:marTop w:val="0"/>
      <w:marBottom w:val="0"/>
      <w:divBdr>
        <w:top w:val="none" w:sz="0" w:space="0" w:color="auto"/>
        <w:left w:val="none" w:sz="0" w:space="0" w:color="auto"/>
        <w:bottom w:val="none" w:sz="0" w:space="0" w:color="auto"/>
        <w:right w:val="none" w:sz="0" w:space="0" w:color="auto"/>
      </w:divBdr>
      <w:divsChild>
        <w:div w:id="1647738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Asus</dc:creator>
  <cp:keywords/>
  <dc:description/>
  <cp:lastModifiedBy>ervina puspitasari</cp:lastModifiedBy>
  <cp:revision>2</cp:revision>
  <dcterms:created xsi:type="dcterms:W3CDTF">2024-10-01T13:18:00Z</dcterms:created>
  <dcterms:modified xsi:type="dcterms:W3CDTF">2024-10-01T13:18:00Z</dcterms:modified>
</cp:coreProperties>
</file>