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A963F" w14:textId="77777777" w:rsidR="00D6467E" w:rsidRDefault="00D6467E" w:rsidP="00D6467E">
      <w:pPr>
        <w:ind w:left="1440" w:firstLine="720"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Bilaghunnah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br/>
      </w:r>
    </w:p>
    <w:p w14:paraId="7CDD924E" w14:textId="77777777" w:rsidR="00D6467E" w:rsidRDefault="00D6467E">
      <w:pPr>
        <w:rPr>
          <w:rFonts w:ascii="Arial" w:hAnsi="Arial" w:cs="Arial"/>
          <w:color w:val="333333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7"/>
          <w:szCs w:val="27"/>
        </w:rPr>
        <w:t>Dikutip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dari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buku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Dasar-Dasar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Ilmu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Tajwid (2020) oleh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Marzuki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dan Ummah,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bilaghunnah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dikenal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juga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sebagai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bighairi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bilaghunnah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adalah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ketika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nun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mati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r>
        <w:rPr>
          <w:rFonts w:ascii="Arial" w:hAnsi="Arial" w:cs="Arial"/>
          <w:color w:val="333333"/>
          <w:sz w:val="27"/>
          <w:szCs w:val="27"/>
          <w:rtl/>
        </w:rPr>
        <w:t>نْ</w:t>
      </w:r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atau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tanwin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r>
        <w:rPr>
          <w:rFonts w:ascii="Arial" w:hAnsi="Arial" w:cs="Arial"/>
          <w:color w:val="333333"/>
          <w:sz w:val="27"/>
          <w:szCs w:val="27"/>
          <w:rtl/>
        </w:rPr>
        <w:t>ـًـــٍـــٌ</w:t>
      </w:r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bertemu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sesudahnya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dibaca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tanpa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mendengung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>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proofErr w:type="spellStart"/>
      <w:r>
        <w:rPr>
          <w:rFonts w:ascii="Arial" w:hAnsi="Arial" w:cs="Arial"/>
          <w:color w:val="333333"/>
          <w:sz w:val="27"/>
          <w:szCs w:val="27"/>
        </w:rPr>
        <w:t>Artinya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saat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membaca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nun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mati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atau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tanwin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bunyi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nun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tersebut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bergabung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menyatu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mengikuti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tanpa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dibaca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atau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mendengung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proofErr w:type="spellStart"/>
      <w:r>
        <w:rPr>
          <w:rFonts w:ascii="Arial" w:hAnsi="Arial" w:cs="Arial"/>
          <w:color w:val="333333"/>
          <w:sz w:val="27"/>
          <w:szCs w:val="27"/>
        </w:rPr>
        <w:t>Hukum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bilaghunnah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ini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terjadi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ketika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nun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mati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atau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tanwin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bertemu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lam (</w:t>
      </w:r>
      <w:r>
        <w:rPr>
          <w:rFonts w:ascii="Arial" w:hAnsi="Arial" w:cs="Arial"/>
          <w:color w:val="333333"/>
          <w:sz w:val="27"/>
          <w:szCs w:val="27"/>
          <w:rtl/>
        </w:rPr>
        <w:t>ل</w:t>
      </w:r>
      <w:r>
        <w:rPr>
          <w:rFonts w:ascii="Arial" w:hAnsi="Arial" w:cs="Arial"/>
          <w:color w:val="333333"/>
          <w:sz w:val="27"/>
          <w:szCs w:val="27"/>
        </w:rPr>
        <w:t xml:space="preserve">) dan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ra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 </w:t>
      </w:r>
      <w:r>
        <w:rPr>
          <w:rFonts w:ascii="Arial" w:hAnsi="Arial" w:cs="Arial"/>
          <w:color w:val="333333"/>
          <w:sz w:val="27"/>
          <w:szCs w:val="27"/>
          <w:rtl/>
        </w:rPr>
        <w:t>ﺭ</w:t>
      </w:r>
      <w:r>
        <w:rPr>
          <w:rFonts w:ascii="Arial" w:hAnsi="Arial" w:cs="Arial"/>
          <w:color w:val="333333"/>
          <w:sz w:val="27"/>
          <w:szCs w:val="27"/>
        </w:rPr>
        <w:t xml:space="preserve"> ).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Cara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membaca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bilaghunnah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adalah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memasukkan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suara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nun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sukun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atau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tanwin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sepenuhnya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ke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dalam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lam (</w:t>
      </w:r>
      <w:r>
        <w:rPr>
          <w:rFonts w:ascii="Arial" w:hAnsi="Arial" w:cs="Arial"/>
          <w:color w:val="333333"/>
          <w:sz w:val="27"/>
          <w:szCs w:val="27"/>
          <w:rtl/>
        </w:rPr>
        <w:t>ل</w:t>
      </w:r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atau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ra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 </w:t>
      </w:r>
      <w:r>
        <w:rPr>
          <w:rFonts w:ascii="Arial" w:hAnsi="Arial" w:cs="Arial"/>
          <w:color w:val="333333"/>
          <w:sz w:val="27"/>
          <w:szCs w:val="27"/>
          <w:rtl/>
        </w:rPr>
        <w:t>ﺭ</w:t>
      </w:r>
      <w:r>
        <w:rPr>
          <w:rFonts w:ascii="Arial" w:hAnsi="Arial" w:cs="Arial"/>
          <w:color w:val="333333"/>
          <w:sz w:val="27"/>
          <w:szCs w:val="27"/>
        </w:rPr>
        <w:t xml:space="preserve"> 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cara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mentasydidkannya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tanpa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disertai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dengung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atau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sengau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proofErr w:type="spellStart"/>
      <w:r>
        <w:rPr>
          <w:rFonts w:ascii="Arial" w:hAnsi="Arial" w:cs="Arial"/>
          <w:color w:val="333333"/>
          <w:sz w:val="27"/>
          <w:szCs w:val="27"/>
        </w:rPr>
        <w:t>Ini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berbeda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halnya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yang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harus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dibaca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cara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didengungkan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proofErr w:type="spellStart"/>
      <w:r>
        <w:rPr>
          <w:rFonts w:ascii="Arial" w:hAnsi="Arial" w:cs="Arial"/>
          <w:color w:val="333333"/>
          <w:sz w:val="27"/>
          <w:szCs w:val="27"/>
        </w:rPr>
        <w:t>Hukum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Bacaan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Bilaghunnah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beserta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Contoh</w:t>
      </w:r>
      <w:proofErr w:type="spellEnd"/>
      <w:r>
        <w:rPr>
          <w:rFonts w:ascii="Arial" w:hAnsi="Arial" w:cs="Arial"/>
          <w:color w:val="333333"/>
          <w:sz w:val="27"/>
          <w:szCs w:val="27"/>
        </w:rPr>
        <w:br/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Bilaghunnah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br/>
      </w:r>
    </w:p>
    <w:p w14:paraId="2BC15460" w14:textId="77777777" w:rsidR="00D6467E" w:rsidRDefault="00D6467E">
      <w:pPr>
        <w:rPr>
          <w:rFonts w:ascii="Arial" w:hAnsi="Arial" w:cs="Arial"/>
          <w:color w:val="333333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bilaghunnah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ada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dua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yaitu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lam (</w:t>
      </w:r>
      <w:r>
        <w:rPr>
          <w:rFonts w:ascii="Arial" w:hAnsi="Arial" w:cs="Arial"/>
          <w:color w:val="333333"/>
          <w:sz w:val="27"/>
          <w:szCs w:val="27"/>
          <w:rtl/>
        </w:rPr>
        <w:t>ل</w:t>
      </w:r>
      <w:r>
        <w:rPr>
          <w:rFonts w:ascii="Arial" w:hAnsi="Arial" w:cs="Arial"/>
          <w:color w:val="333333"/>
          <w:sz w:val="27"/>
          <w:szCs w:val="27"/>
        </w:rPr>
        <w:t xml:space="preserve">) dan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ra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 xml:space="preserve">( </w:t>
      </w:r>
      <w:r>
        <w:rPr>
          <w:rFonts w:ascii="Arial" w:hAnsi="Arial" w:cs="Arial"/>
          <w:color w:val="333333"/>
          <w:sz w:val="27"/>
          <w:szCs w:val="27"/>
          <w:rtl/>
        </w:rPr>
        <w:t>ﺭ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).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Untuk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memudahkan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mengingatnya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dan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memahaminya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potongan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nazham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dari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kitab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Hidayatus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Shibyan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berikut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ini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dapat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dihafalkan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rtl/>
        </w:rPr>
        <w:t xml:space="preserve">وَادْغِمِ بِلَاغُنَّةٍ فِي لَامٍ </w:t>
      </w:r>
      <w:proofErr w:type="gramStart"/>
      <w:r>
        <w:rPr>
          <w:rFonts w:ascii="Arial" w:hAnsi="Arial" w:cs="Arial"/>
          <w:color w:val="333333"/>
          <w:sz w:val="27"/>
          <w:szCs w:val="27"/>
          <w:rtl/>
        </w:rPr>
        <w:t>وَرَا</w:t>
      </w:r>
      <w:r>
        <w:rPr>
          <w:rFonts w:ascii="Arial" w:hAnsi="Arial" w:cs="Arial"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"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Bacalah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bilaghunnah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jika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ada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tanwin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atau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nun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mati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bertemu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salah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satu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r>
        <w:rPr>
          <w:rFonts w:ascii="Arial" w:hAnsi="Arial" w:cs="Arial"/>
          <w:color w:val="333333"/>
          <w:sz w:val="27"/>
          <w:szCs w:val="27"/>
          <w:rtl/>
        </w:rPr>
        <w:t>ل</w:t>
      </w:r>
      <w:r>
        <w:rPr>
          <w:rFonts w:ascii="Arial" w:hAnsi="Arial" w:cs="Arial"/>
          <w:color w:val="333333"/>
          <w:sz w:val="27"/>
          <w:szCs w:val="27"/>
        </w:rPr>
        <w:t xml:space="preserve">) dan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ra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 </w:t>
      </w:r>
      <w:r>
        <w:rPr>
          <w:rFonts w:ascii="Arial" w:hAnsi="Arial" w:cs="Arial"/>
          <w:color w:val="333333"/>
          <w:sz w:val="27"/>
          <w:szCs w:val="27"/>
          <w:rtl/>
        </w:rPr>
        <w:t>ﺭ</w:t>
      </w:r>
      <w:r>
        <w:rPr>
          <w:rFonts w:ascii="Arial" w:hAnsi="Arial" w:cs="Arial"/>
          <w:color w:val="333333"/>
          <w:sz w:val="27"/>
          <w:szCs w:val="27"/>
        </w:rPr>
        <w:t xml:space="preserve"> )"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</w:p>
    <w:p w14:paraId="3F7F2CC4" w14:textId="77777777" w:rsidR="00D6467E" w:rsidRDefault="00D6467E">
      <w:pPr>
        <w:rPr>
          <w:rFonts w:ascii="Arial" w:hAnsi="Arial" w:cs="Arial"/>
          <w:color w:val="333333"/>
          <w:sz w:val="27"/>
          <w:szCs w:val="27"/>
        </w:rPr>
      </w:pPr>
    </w:p>
    <w:p w14:paraId="50EB9043" w14:textId="77777777" w:rsidR="00D6467E" w:rsidRDefault="00D6467E">
      <w:pPr>
        <w:rPr>
          <w:rFonts w:ascii="Arial" w:hAnsi="Arial" w:cs="Arial"/>
          <w:color w:val="333333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7"/>
          <w:szCs w:val="27"/>
        </w:rPr>
        <w:lastRenderedPageBreak/>
        <w:t>Contoh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Bilaghunnah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br/>
      </w:r>
      <w:proofErr w:type="spellStart"/>
      <w:r>
        <w:rPr>
          <w:rFonts w:ascii="Arial" w:hAnsi="Arial" w:cs="Arial"/>
          <w:color w:val="333333"/>
          <w:sz w:val="27"/>
          <w:szCs w:val="27"/>
        </w:rPr>
        <w:t>Berikut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adalah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contoh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idgham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bilaghunnah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ketika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nun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mati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r>
        <w:rPr>
          <w:rFonts w:ascii="Arial" w:hAnsi="Arial" w:cs="Arial"/>
          <w:color w:val="333333"/>
          <w:sz w:val="27"/>
          <w:szCs w:val="27"/>
          <w:rtl/>
        </w:rPr>
        <w:t>نْ</w:t>
      </w:r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atau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tanwin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r>
        <w:rPr>
          <w:rFonts w:ascii="Arial" w:hAnsi="Arial" w:cs="Arial"/>
          <w:color w:val="333333"/>
          <w:sz w:val="27"/>
          <w:szCs w:val="27"/>
          <w:rtl/>
        </w:rPr>
        <w:t>ـًـــٍـــٌ</w:t>
      </w:r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bertemu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kedua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hijaiyah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lam (</w:t>
      </w:r>
      <w:r>
        <w:rPr>
          <w:rFonts w:ascii="Arial" w:hAnsi="Arial" w:cs="Arial"/>
          <w:color w:val="333333"/>
          <w:sz w:val="27"/>
          <w:szCs w:val="27"/>
          <w:rtl/>
        </w:rPr>
        <w:t>ل</w:t>
      </w:r>
      <w:r>
        <w:rPr>
          <w:rFonts w:ascii="Arial" w:hAnsi="Arial" w:cs="Arial"/>
          <w:color w:val="333333"/>
          <w:sz w:val="27"/>
          <w:szCs w:val="27"/>
        </w:rPr>
        <w:t xml:space="preserve">) dan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ra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r>
        <w:rPr>
          <w:rFonts w:ascii="Arial" w:hAnsi="Arial" w:cs="Arial"/>
          <w:color w:val="333333"/>
          <w:sz w:val="27"/>
          <w:szCs w:val="27"/>
          <w:rtl/>
        </w:rPr>
        <w:t>ﺭ</w:t>
      </w:r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disertai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cara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membacanya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dapat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dilihat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pada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tabel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berikut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 xml:space="preserve">No. Surat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Tertulis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Cara Baca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Keterangan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br/>
      </w:r>
    </w:p>
    <w:p w14:paraId="136DA6AE" w14:textId="780A3467" w:rsidR="00D6467E" w:rsidRDefault="00D6467E">
      <w:r>
        <w:rPr>
          <w:rFonts w:ascii="Arial" w:hAnsi="Arial" w:cs="Arial"/>
          <w:color w:val="333333"/>
          <w:sz w:val="27"/>
          <w:szCs w:val="27"/>
        </w:rPr>
        <w:t>1. QS. Al-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Ahzab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ayat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60 </w:t>
      </w:r>
      <w:r>
        <w:rPr>
          <w:rFonts w:ascii="Arial" w:hAnsi="Arial" w:cs="Arial"/>
          <w:color w:val="333333"/>
          <w:sz w:val="27"/>
          <w:szCs w:val="27"/>
          <w:rtl/>
        </w:rPr>
        <w:t>لَئِنْ لَّمْ يَنْتَهِ لَئِ لَّمْ يَخْتَهِ</w:t>
      </w:r>
      <w:r>
        <w:rPr>
          <w:rFonts w:ascii="Arial" w:hAnsi="Arial" w:cs="Arial"/>
          <w:color w:val="333333"/>
          <w:sz w:val="27"/>
          <w:szCs w:val="27"/>
        </w:rPr>
        <w:t xml:space="preserve"> Nun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sukun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r>
        <w:rPr>
          <w:rFonts w:ascii="Arial" w:hAnsi="Arial" w:cs="Arial"/>
          <w:color w:val="333333"/>
          <w:sz w:val="27"/>
          <w:szCs w:val="27"/>
          <w:rtl/>
        </w:rPr>
        <w:t>نْ</w:t>
      </w:r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diidghamkan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karena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bertemu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lam (</w:t>
      </w:r>
      <w:r>
        <w:rPr>
          <w:rFonts w:ascii="Arial" w:hAnsi="Arial" w:cs="Arial"/>
          <w:color w:val="333333"/>
          <w:sz w:val="27"/>
          <w:szCs w:val="27"/>
          <w:rtl/>
        </w:rPr>
        <w:t>ل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br/>
        <w:t>2. QS. Ad-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Dhuha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ayat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4 </w:t>
      </w:r>
      <w:r>
        <w:rPr>
          <w:rFonts w:ascii="Arial" w:hAnsi="Arial" w:cs="Arial"/>
          <w:color w:val="333333"/>
          <w:sz w:val="27"/>
          <w:szCs w:val="27"/>
          <w:rtl/>
        </w:rPr>
        <w:t>خَيْرٌ لَكَ خَيْرُ لَّكَ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Tanwin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r>
        <w:rPr>
          <w:rFonts w:ascii="Arial" w:hAnsi="Arial" w:cs="Arial"/>
          <w:color w:val="333333"/>
          <w:sz w:val="27"/>
          <w:szCs w:val="27"/>
          <w:rtl/>
        </w:rPr>
        <w:t>ــٌ</w:t>
      </w:r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diidghamkan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karena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bertemu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lam (</w:t>
      </w:r>
      <w:r>
        <w:rPr>
          <w:rFonts w:ascii="Arial" w:hAnsi="Arial" w:cs="Arial"/>
          <w:color w:val="333333"/>
          <w:sz w:val="27"/>
          <w:szCs w:val="27"/>
          <w:rtl/>
        </w:rPr>
        <w:t>ل</w:t>
      </w:r>
      <w:r>
        <w:rPr>
          <w:rFonts w:ascii="Arial" w:hAnsi="Arial" w:cs="Arial"/>
          <w:color w:val="333333"/>
          <w:sz w:val="27"/>
          <w:szCs w:val="27"/>
        </w:rPr>
        <w:t>)</w:t>
      </w:r>
      <w:r>
        <w:rPr>
          <w:rFonts w:ascii="Arial" w:hAnsi="Arial" w:cs="Arial"/>
          <w:color w:val="333333"/>
          <w:sz w:val="27"/>
          <w:szCs w:val="27"/>
        </w:rPr>
        <w:br/>
        <w:t>3. QS. Al-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Muthaffifin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ayat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25 </w:t>
      </w:r>
      <w:r>
        <w:rPr>
          <w:rFonts w:ascii="Arial" w:hAnsi="Arial" w:cs="Arial"/>
          <w:color w:val="333333"/>
          <w:sz w:val="27"/>
          <w:szCs w:val="27"/>
          <w:rtl/>
        </w:rPr>
        <w:t>مِن رَّحِيْقٍ مِرَّحِيْقٍ</w:t>
      </w:r>
      <w:r>
        <w:rPr>
          <w:rFonts w:ascii="Arial" w:hAnsi="Arial" w:cs="Arial"/>
          <w:color w:val="333333"/>
          <w:sz w:val="27"/>
          <w:szCs w:val="27"/>
        </w:rPr>
        <w:t xml:space="preserve"> Nun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sukun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r>
        <w:rPr>
          <w:rFonts w:ascii="Arial" w:hAnsi="Arial" w:cs="Arial"/>
          <w:color w:val="333333"/>
          <w:sz w:val="27"/>
          <w:szCs w:val="27"/>
          <w:rtl/>
        </w:rPr>
        <w:t>نْ</w:t>
      </w:r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diidghamkan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karena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bertemu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ra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'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 xml:space="preserve">( </w:t>
      </w:r>
      <w:r>
        <w:rPr>
          <w:rFonts w:ascii="Arial" w:hAnsi="Arial" w:cs="Arial"/>
          <w:color w:val="333333"/>
          <w:sz w:val="27"/>
          <w:szCs w:val="27"/>
          <w:rtl/>
        </w:rPr>
        <w:t>ﺭ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)</w:t>
      </w:r>
      <w:r>
        <w:rPr>
          <w:rFonts w:ascii="Arial" w:hAnsi="Arial" w:cs="Arial"/>
          <w:color w:val="333333"/>
          <w:sz w:val="27"/>
          <w:szCs w:val="27"/>
        </w:rPr>
        <w:br/>
        <w:t>4. QS. At-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Takwir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ayat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25 </w:t>
      </w:r>
      <w:r>
        <w:rPr>
          <w:rFonts w:ascii="Arial" w:hAnsi="Arial" w:cs="Arial"/>
          <w:color w:val="333333"/>
          <w:sz w:val="27"/>
          <w:szCs w:val="27"/>
          <w:rtl/>
        </w:rPr>
        <w:t>شَيْطَانٍ رَّحِيْم شَيْطَانِ رَّحِيْم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Tanwin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r>
        <w:rPr>
          <w:rFonts w:ascii="Arial" w:hAnsi="Arial" w:cs="Arial"/>
          <w:color w:val="333333"/>
          <w:sz w:val="27"/>
          <w:szCs w:val="27"/>
          <w:rtl/>
        </w:rPr>
        <w:t>ــٍـ</w:t>
      </w:r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diidghamkan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karena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bertemu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dengan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huruf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ra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' ( </w:t>
      </w:r>
      <w:r>
        <w:rPr>
          <w:rFonts w:ascii="Arial" w:hAnsi="Arial" w:cs="Arial"/>
          <w:color w:val="333333"/>
          <w:sz w:val="27"/>
          <w:szCs w:val="27"/>
          <w:rtl/>
        </w:rPr>
        <w:t>ﺭ</w:t>
      </w:r>
      <w:r>
        <w:rPr>
          <w:rFonts w:ascii="Arial" w:hAnsi="Arial" w:cs="Arial"/>
          <w:color w:val="333333"/>
          <w:sz w:val="27"/>
          <w:szCs w:val="27"/>
        </w:rPr>
        <w:t xml:space="preserve"> )</w:t>
      </w:r>
      <w:r>
        <w:rPr>
          <w:rFonts w:ascii="Arial" w:hAnsi="Arial" w:cs="Arial"/>
          <w:color w:val="333333"/>
          <w:sz w:val="27"/>
          <w:szCs w:val="27"/>
        </w:rPr>
        <w:br/>
        <w:t> 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  <w:t> 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</w:p>
    <w:sectPr w:rsidR="00D64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7E"/>
    <w:rsid w:val="00D6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1430"/>
  <w15:chartTrackingRefBased/>
  <w15:docId w15:val="{97C5DBAF-9F64-4856-96EF-15D49755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4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2025-01-15T08:28:00Z</dcterms:created>
  <dcterms:modified xsi:type="dcterms:W3CDTF">2025-01-15T08:30:00Z</dcterms:modified>
</cp:coreProperties>
</file>