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F7" w:rsidRDefault="00B464F7" w:rsidP="00B464F7">
      <w:pPr>
        <w:spacing w:after="0" w:line="384" w:lineRule="atLeast"/>
        <w:ind w:left="2880" w:firstLine="720"/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</w:pPr>
      <w:r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>I K H F A’</w:t>
      </w:r>
    </w:p>
    <w:p w:rsid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Adapun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berasal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dari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bahasa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Arab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yakni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Jawwada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-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yujawwidu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-tajwid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artinya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bisa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memperindah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menyempurnakan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memperbagus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untuk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memperindah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Alquran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terbagi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empat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salah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satunya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 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fldChar w:fldCharType="begin"/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instrText xml:space="preserve"> HYPERLINK "https://www.okezone.com/tag/ikhfa" </w:instrTex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fldChar w:fldCharType="separate"/>
      </w:r>
      <w:r w:rsidRPr="00B464F7">
        <w:rPr>
          <w:rFonts w:ascii="mnc400" w:eastAsia="Times New Roman" w:hAnsi="mnc400" w:cs="Times New Roman"/>
          <w:color w:val="457AE5"/>
          <w:sz w:val="24"/>
          <w:szCs w:val="24"/>
          <w:u w:val="single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fldChar w:fldCharType="end"/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Dari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keempat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itu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hijaiyah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paling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banyak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terbagi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15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hijaiyah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 </w:t>
      </w:r>
    </w:p>
    <w:p w:rsidR="00B464F7" w:rsidRDefault="00B464F7" w:rsidP="00B464F7">
      <w:pPr>
        <w:spacing w:after="0" w:line="384" w:lineRule="atLeast"/>
        <w:rPr>
          <w:rFonts w:ascii="mnc700" w:eastAsia="Times New Roman" w:hAnsi="mnc700" w:cs="Times New Roman"/>
          <w:color w:val="397BFF"/>
          <w:sz w:val="24"/>
          <w:szCs w:val="24"/>
          <w:lang w:eastAsia="en-ID"/>
        </w:rPr>
      </w:pP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اِخْفَاء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masuk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bahasa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arti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sembunyi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samar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Sedangkan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berdasarkan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istilah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arti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menyamarkan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نْ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ـًـــٍـــٌ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jika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نْ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gramStart"/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ـًـــٍـــٌ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)</w:t>
      </w:r>
      <w:proofErr w:type="gram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bila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harus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samar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Melafadzkan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sama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seperti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melafalkan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bunyi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"ng"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panjang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dua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harakat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satu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alif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harus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dengung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ghunnah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 </w:t>
      </w:r>
    </w:p>
    <w:p w:rsid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Setiap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Muslim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harus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mengetahui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15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hijaiyah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yakni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: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ت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(ta),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ث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tsa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ج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د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(dal)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ذ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ز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zai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س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(sin),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ش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ص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(shod),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ض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dhod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ط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ظ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(dzho),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(fa),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ق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qof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dan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ك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).</w:t>
      </w:r>
    </w:p>
    <w:p w:rsid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terbagi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dua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jenis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yaitu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syafawi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arti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menyamarkan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menyembunyikan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نْ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gramStart"/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ـًـــٍـــٌ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)</w:t>
      </w:r>
      <w:proofErr w:type="gram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Cara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mendengung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panjang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dua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harakat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satu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alif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Sementara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syafawi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mempertemukan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مْ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gram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(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ب</w:t>
      </w:r>
      <w:proofErr w:type="gram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). Cara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menawarkan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dengungan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Perbedaan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antara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syafawi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terletak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mempertemukannya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Sementara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syafawi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مْ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gram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(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ب</w:t>
      </w:r>
      <w:proofErr w:type="gram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). </w:t>
      </w:r>
    </w:p>
    <w:p w:rsidR="00B464F7" w:rsidRDefault="00B464F7" w:rsidP="00B464F7">
      <w:pPr>
        <w:spacing w:line="240" w:lineRule="auto"/>
        <w:rPr>
          <w:rFonts w:ascii="mnc400" w:eastAsia="Times New Roman" w:hAnsi="mnc400" w:cs="Times New Roman"/>
          <w:noProof/>
          <w:color w:val="000000"/>
          <w:sz w:val="24"/>
          <w:szCs w:val="24"/>
          <w:lang w:eastAsia="en-ID"/>
        </w:rPr>
      </w:pPr>
    </w:p>
    <w:p w:rsidR="00B464F7" w:rsidRPr="00B464F7" w:rsidRDefault="00B464F7" w:rsidP="00B464F7">
      <w:pPr>
        <w:spacing w:line="240" w:lineRule="auto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hyperlink r:id="rId4" w:history="1"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 xml:space="preserve">15 </w:t>
        </w:r>
        <w:proofErr w:type="spellStart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>Contoh</w:t>
        </w:r>
        <w:proofErr w:type="spellEnd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 xml:space="preserve"> Tajwid </w:t>
        </w:r>
        <w:proofErr w:type="spellStart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>Idgham</w:t>
        </w:r>
        <w:proofErr w:type="spellEnd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 xml:space="preserve"> </w:t>
        </w:r>
        <w:proofErr w:type="spellStart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>Mutamatsilain</w:t>
        </w:r>
        <w:proofErr w:type="spellEnd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 xml:space="preserve"> di </w:t>
        </w:r>
        <w:proofErr w:type="spellStart"/>
        <w:r w:rsidRPr="00B464F7">
          <w:rPr>
            <w:rFonts w:ascii="mnc700" w:eastAsia="Times New Roman" w:hAnsi="mnc700" w:cs="Times New Roman"/>
            <w:color w:val="212121"/>
            <w:sz w:val="24"/>
            <w:szCs w:val="24"/>
            <w:u w:val="single"/>
            <w:lang w:eastAsia="en-ID"/>
          </w:rPr>
          <w:t>Alquran</w:t>
        </w:r>
        <w:proofErr w:type="spellEnd"/>
      </w:hyperlink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>Contoh</w:t>
      </w:r>
      <w:proofErr w:type="spellEnd"/>
      <w:r w:rsidRPr="00B464F7"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b/>
          <w:bCs/>
          <w:color w:val="000000"/>
          <w:sz w:val="24"/>
          <w:szCs w:val="24"/>
          <w:lang w:eastAsia="en-ID"/>
        </w:rPr>
        <w:t>Ikhfa</w:t>
      </w:r>
      <w:proofErr w:type="spellEnd"/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1. Surat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Ar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-Rahman Ayat 52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lastRenderedPageBreak/>
        <w:t>فِيۡهِمَا مِنۡ كُلِّ فَاكِهَةٍ زَوۡجٰنِۚ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Fiihimaa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miiin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kulli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faakihatin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zawja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Ayat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mengandung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haqiqi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karena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ada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"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miiin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kulli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"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ك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).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2.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Alaq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14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اَلَمْ يَعْلَمْ بِاَنَّ اللّٰهَ يَرٰىۗ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Ya'lamm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biannallaha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yaraa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Ayat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termasuk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tajwid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syafawi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karena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sukun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مْ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gram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(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ب</w:t>
      </w:r>
      <w:proofErr w:type="gram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bacaan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Ya'lamm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biannallaha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yaraa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3.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Bayyinah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3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فِيهَا كُتُبٌ قَيِّمَةٌ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Fiiha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kutubun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qayyimah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dhammah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ق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qaf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fiiha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kutubung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qayyimah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4. Surat An-Naas Ayat 4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مِن شَرِّ الْوَسْوَاسِ الْخَنَّاسِ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Minsyarril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waswaasil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khan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naas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Ada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ش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cara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syarril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waswasil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khan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naas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5. Surat Ad-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Dhuha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8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وَوَجَدَكَ عَائِلًا فَأَغْنَ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wajadaka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'aa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aghnaa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(fa),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wajadaka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'aa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ilang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aghnaa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 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6. Surat Al-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Lail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3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وَمَا خَلَقَ الذَّكَرَ وَالْأُنثَىٰ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kholaqodz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dzakara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untsaa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Ada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ث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tsa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kholaqodz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dzakara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ungtsaa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7.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Fajr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15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فَأَمَّا الْإِنسَانُ إِذَا مَا ابْتَلَاهُ رَبُّهُ فَأَكْرَمَهُ وَنَعَّمَهُ فَيَقُولُ رَبِّي أَكْرَمَنِ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ammal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insaanu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idzaa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mabtalaahu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robbahuu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akramahuu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na'ammahuu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fayaquulu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rabbii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akraman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س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(sin),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cara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ammal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ingsaanu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idzaa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mabtalaahu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robbahuu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akramahuu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na'ammahuu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fayaquulu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rabbii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akraman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lastRenderedPageBreak/>
        <w:t xml:space="preserve">8.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Balad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15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يَتِيمًا ذَا مَقْرَبَةٍ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Yatiiman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maqrabah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ذ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yatiimang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dzaa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maqrabah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9.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Balad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2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وَأَنتَ حِلٌّ بِهَٰذَا الْبَلَدِ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anta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hillum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bihaadzal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balad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ت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(ta),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angta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hillum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bihaadzal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balad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10.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Quraisy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4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الَّذِي أَطْعَمَهُم مِّن جُوعٍ وَآمَنَهُم مِّنْ خَوْفٍ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Alladzii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ath'amahum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minjuu'in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aamanahum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khauf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Ada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ج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jim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alladzi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ath'amahum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mingjuin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aamanahum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khauf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11.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Alaq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16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نَاصِيَةٍ كَاذِبَةٍ خَاطِئَةٍ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Naasiyatin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kaadzibatin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khaathi'ah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ك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naasiyating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kaadzibatin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khaathi'ah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12.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Fajr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22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وَجَاءَ رَبُّكَ وَالْمَلَكُ صَفًّا صَفًّا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Wajaa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rabbuka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malaku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shaffan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shaffaa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ص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(shad),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wajaa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rabbuka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malaku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shaffang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shaffaa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13. Surat As-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Syams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9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قَدْ أَفْلَحَ مَن زَكَّاهَا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Qod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aflaha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manzakkaahaa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ز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(za),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qod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aflaha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mangzakkaahaa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14. Surat Al-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Anbiya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84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فَٱسْتَجَبْنَا لَهُۥ فَكَشَفْنَا مَا بِهِۦ مِن ضُرٍّ ۖ وَءَاتَيْنَٰهُ أَهْلَهُۥ وَمِثْلَهُم مَّعَهُمْ رَحْمَةً مِّنْ عِندِنَا وَذِكْرَىٰ لِلْعَٰبِدِين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Fastajabna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lahu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kasyafna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bihi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durriw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atainahu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ahlahu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mislahum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ma'ahum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rahmatam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 '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indina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zikra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lil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-'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abidin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lastRenderedPageBreak/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Ada nun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mati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ض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dhad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maka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dibaca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fastajabna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lahu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kasyafna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bihi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durriw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atainahu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ahlahu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mislahum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ma'ahum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rahmatam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 '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indina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zikra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lil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-'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abidin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15. Surat Al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Maidah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Ayat 6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فَتَيَمَّمُوا۟ صَعِيدًا طَيِّبًا فَٱمْسَحُوا۟ بِوُجُوهِكُمْ وَأَيْدِيكُم مِّنْهُ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tayammamu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sa'idan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thayyiban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famsahu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biwujuhikum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aidikum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min-hu.</w:t>
      </w:r>
    </w:p>
    <w:p w:rsidR="00B464F7" w:rsidRP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Penjelasan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: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Tanwin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bertemu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huruf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ikhfa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rtl/>
          <w:lang w:eastAsia="en-ID"/>
        </w:rPr>
        <w:t>ط</w:t>
      </w:r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(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tha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),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membacanya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fa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tayammamu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so'idang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thayyiban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famsahu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biwujuhikum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wa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>aidikum</w:t>
      </w:r>
      <w:proofErr w:type="spellEnd"/>
      <w:r w:rsidRPr="00B464F7"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  <w:t xml:space="preserve"> min-hu.</w:t>
      </w:r>
    </w:p>
    <w:p w:rsidR="00B464F7" w:rsidRDefault="00B464F7" w:rsidP="00B464F7">
      <w:pPr>
        <w:spacing w:after="0" w:line="384" w:lineRule="atLeast"/>
        <w:rPr>
          <w:rFonts w:ascii="mnc400" w:eastAsia="Times New Roman" w:hAnsi="mnc400" w:cs="Times New Roman"/>
          <w:color w:val="000000"/>
          <w:sz w:val="24"/>
          <w:szCs w:val="24"/>
          <w:lang w:eastAsia="en-ID"/>
        </w:rPr>
      </w:pPr>
    </w:p>
    <w:p w:rsidR="00B464F7" w:rsidRDefault="00B464F7">
      <w:bookmarkStart w:id="0" w:name="_GoBack"/>
      <w:bookmarkEnd w:id="0"/>
    </w:p>
    <w:sectPr w:rsidR="00B46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nc400">
    <w:altName w:val="Cambria"/>
    <w:panose1 w:val="00000000000000000000"/>
    <w:charset w:val="00"/>
    <w:family w:val="roman"/>
    <w:notTrueType/>
    <w:pitch w:val="default"/>
  </w:font>
  <w:font w:name="mnc7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F7"/>
    <w:rsid w:val="00B4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A7D"/>
  <w15:chartTrackingRefBased/>
  <w15:docId w15:val="{0FEE18AF-E7AA-4932-BE4D-B4EB869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B464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9092">
              <w:marLeft w:val="18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0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9470">
              <w:marLeft w:val="18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slim.okezone.com/read/2024/09/11/614/3061465/15-contoh-tajwid-idgham-mutamatsilain-di-alqu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2025-02-05T07:11:00Z</dcterms:created>
  <dcterms:modified xsi:type="dcterms:W3CDTF">2025-02-05T07:14:00Z</dcterms:modified>
</cp:coreProperties>
</file>