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5E8" w:rsidRPr="00383F6E" w:rsidRDefault="00B445E8" w:rsidP="00B445E8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3F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</w:t>
      </w:r>
      <w:bookmarkStart w:id="0" w:name="_GoBack"/>
      <w:bookmarkEnd w:id="0"/>
      <w:r w:rsidRPr="00383F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</w:t>
      </w:r>
      <w:r w:rsidRPr="00383F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: Han </w:t>
      </w:r>
      <w:proofErr w:type="spellStart"/>
      <w:r w:rsidRPr="00383F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Han</w:t>
      </w:r>
      <w:proofErr w:type="spellEnd"/>
    </w:p>
    <w:p w:rsidR="00B445E8" w:rsidRPr="00383F6E" w:rsidRDefault="00B445E8" w:rsidP="00B445E8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3F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NPM</w:t>
      </w:r>
      <w:r w:rsidRPr="00383F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 1812120009</w:t>
      </w:r>
    </w:p>
    <w:p w:rsidR="00FD3A77" w:rsidRPr="00383F6E" w:rsidRDefault="001D3C04" w:rsidP="00B445E8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Soal</w:t>
      </w:r>
      <w:proofErr w:type="spellEnd"/>
      <w:r w:rsidRPr="00383F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Auditing 2</w:t>
      </w:r>
    </w:p>
    <w:p w:rsidR="001D3C04" w:rsidRPr="00383F6E" w:rsidRDefault="001D3C04" w:rsidP="00B445E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3C04" w:rsidRPr="00383F6E" w:rsidRDefault="001D3C04" w:rsidP="00B445E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Jelaskan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prosedur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pemerikasaan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liabilitas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jangka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panjang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9B798F" w:rsidRPr="00383F6E" w:rsidRDefault="009B798F" w:rsidP="00B445E8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Jawab</w:t>
      </w:r>
      <w:proofErr w:type="spellEnd"/>
      <w:r w:rsidRPr="00383F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9B798F" w:rsidRPr="00383F6E" w:rsidRDefault="009B798F" w:rsidP="00B445E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B7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Pelajari</w:t>
      </w:r>
      <w:proofErr w:type="spellEnd"/>
      <w:r w:rsidRPr="009B7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B7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9B7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B7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9B7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9B798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internal control </w:t>
      </w:r>
      <w:proofErr w:type="spellStart"/>
      <w:r w:rsidRPr="009B7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9B7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B7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libilitas</w:t>
      </w:r>
      <w:proofErr w:type="spellEnd"/>
      <w:r w:rsidRPr="009B7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B7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jangka</w:t>
      </w:r>
      <w:proofErr w:type="spellEnd"/>
      <w:r w:rsidRPr="009B7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B7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panjang</w:t>
      </w:r>
      <w:proofErr w:type="spellEnd"/>
      <w:r w:rsidRPr="009B7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B798F" w:rsidRPr="00383F6E" w:rsidRDefault="009B798F" w:rsidP="00B445E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Dapatkan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periksa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ringkasan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liabilitas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jangka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panjang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383F6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discount, premium, 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bunga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peiode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diperiksa</w:t>
      </w:r>
      <w:proofErr w:type="spellEnd"/>
    </w:p>
    <w:p w:rsidR="009B798F" w:rsidRPr="00383F6E" w:rsidRDefault="009B798F" w:rsidP="00B445E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Kirim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bank yang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lain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menanyakan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plafon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kredit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saldo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posis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keuangan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tingkat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bunga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jangka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pinjaman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jaminan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kredit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B798F" w:rsidRPr="00383F6E" w:rsidRDefault="009B798F" w:rsidP="00B445E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Minta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salinan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perjanjian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kredit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383F6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permanent file, 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lalu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perhatikan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 yang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perjanjian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kredit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 yang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tercantum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kertas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FC39AD">
        <w:fldChar w:fldCharType="begin"/>
      </w:r>
      <w:r w:rsidR="00FC39AD">
        <w:instrText xml:space="preserve"> HYPERLINK "https://lms.darmajaya.ac.id/mod/lesson/view.php?id=130660" \o "Pemeriksaan Liabilitas Jangka Panjang" </w:instrText>
      </w:r>
      <w:r w:rsidR="00FC39AD">
        <w:fldChar w:fldCharType="separate"/>
      </w:r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pemeriksaan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liabilitas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jangka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panjang</w:t>
      </w:r>
      <w:proofErr w:type="spellEnd"/>
      <w:r w:rsidR="00FC39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B798F" w:rsidRPr="00383F6E" w:rsidRDefault="009B798F" w:rsidP="00B445E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Periksa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perolehan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penambahan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bunga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amortisasi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383F6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discount/premium</w:t>
      </w:r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obligasi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Pr="00383F6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Tie-Up 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beban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bunga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amortisasi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383F6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discount/premium 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obligasi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tercantum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laba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rugi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Pr="00383F6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Discount/premium </w:t>
      </w:r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diamortisasi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dilaporkan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pengurangan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penambahan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nominal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obligasi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B798F" w:rsidRPr="00383F6E" w:rsidRDefault="009B798F" w:rsidP="00B445E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Periksa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perhitungan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bunga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pembayaran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bunga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amortisasi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383F6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discount/premium 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obligasi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B798F" w:rsidRPr="00383F6E" w:rsidRDefault="009B798F" w:rsidP="00B445E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Periksa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liabilitas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jangka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panjang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wesel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bayar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diperpanjang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83F6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direnewed</w:t>
      </w:r>
      <w:proofErr w:type="spellEnd"/>
      <w:r w:rsidRPr="00383F6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)</w:t>
      </w:r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posisi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keuangan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utang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tetap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disajikan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liabilitas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jangka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panjang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utang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lancar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B798F" w:rsidRPr="00383F6E" w:rsidRDefault="009B798F" w:rsidP="00B445E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Seandainya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utang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pemegang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saham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direksi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afiliasi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dikirim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konfirmasi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periksa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pembebanan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bunga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pinjaman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B798F" w:rsidRPr="00383F6E" w:rsidRDefault="009B798F" w:rsidP="00B445E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Seandainya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utang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leasing,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periksa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pencatatannya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penyajiannya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keuangan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akuntansi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sewa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guna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(PSAK No. 30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Revisi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2007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Sewa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9B798F" w:rsidRPr="00383F6E" w:rsidRDefault="009B798F" w:rsidP="00B445E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Periksa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liabilitas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jangka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panjang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jatuh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tempo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datang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direklasifikasi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liabilitas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jangka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pendek</w:t>
      </w:r>
      <w:proofErr w:type="spellEnd"/>
    </w:p>
    <w:p w:rsidR="009B798F" w:rsidRPr="00383F6E" w:rsidRDefault="009B798F" w:rsidP="00B445E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Seandainya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liabilitas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jangka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panjang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dibayar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kembali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uang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asing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periksa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posisi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keuangan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dikonversikan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kedalam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rupiah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kurs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tengah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Bank Indonesia per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posisi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keuangan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selisih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kurs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dibebankan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dikreditkan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laba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rugi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berjalan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B798F" w:rsidRPr="00383F6E" w:rsidRDefault="009B798F" w:rsidP="00B445E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Lakukan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penelaahan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analitis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383F6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analytical review procedures)</w:t>
      </w:r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liabilitas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jangka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panjang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biaya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bunganya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melihat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kemungkinan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terjadinya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kesalahan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pencatatan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biaya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bunga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B798F" w:rsidRPr="00383F6E" w:rsidRDefault="009B798F" w:rsidP="00B445E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Tarik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kesimpulan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penyajian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liabilitas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jangka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panjang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posisi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keuangan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catatan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keuangan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Akuntansi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Keuangan</w:t>
      </w:r>
      <w:proofErr w:type="spellEnd"/>
      <w:r w:rsidRPr="00383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ETAP/PSAK/IFRS</w:t>
      </w:r>
    </w:p>
    <w:p w:rsidR="00B445E8" w:rsidRPr="00383F6E" w:rsidRDefault="00B445E8" w:rsidP="00B445E8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3C04" w:rsidRPr="00383F6E" w:rsidRDefault="001D3C04" w:rsidP="00B445E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konfirmasi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saldo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hutang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jangka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panjang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dibutuhkan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pihak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auditor?</w:t>
      </w:r>
    </w:p>
    <w:p w:rsidR="009B798F" w:rsidRPr="00383F6E" w:rsidRDefault="009B798F" w:rsidP="00B445E8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Jawab</w:t>
      </w:r>
      <w:proofErr w:type="spellEnd"/>
      <w:r w:rsidRPr="00383F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4D0D91" w:rsidRPr="00383F6E" w:rsidRDefault="004D0D91" w:rsidP="00B445E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perjanjian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kredit</w:t>
      </w:r>
      <w:proofErr w:type="spellEnd"/>
    </w:p>
    <w:p w:rsidR="004D0D91" w:rsidRPr="00383F6E" w:rsidRDefault="004D0D91" w:rsidP="00B445E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jatih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tempo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kredit</w:t>
      </w:r>
      <w:proofErr w:type="spellEnd"/>
    </w:p>
    <w:p w:rsidR="004D0D91" w:rsidRPr="00383F6E" w:rsidRDefault="004D0D91" w:rsidP="00B445E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kredit</w:t>
      </w:r>
      <w:proofErr w:type="spellEnd"/>
    </w:p>
    <w:p w:rsidR="004D0D91" w:rsidRPr="00383F6E" w:rsidRDefault="004D0D91" w:rsidP="00B445E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Plafond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kredit</w:t>
      </w:r>
      <w:proofErr w:type="spellEnd"/>
    </w:p>
    <w:p w:rsidR="004D0D91" w:rsidRPr="00383F6E" w:rsidRDefault="004D0D91" w:rsidP="00B445E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Saldo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kredit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Desember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</w:p>
    <w:p w:rsidR="004D0D91" w:rsidRPr="00383F6E" w:rsidRDefault="004D0D91" w:rsidP="00B445E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Tingkat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bunga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kredit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bunga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terutang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perdiode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desember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</w:p>
    <w:p w:rsidR="004D0D91" w:rsidRPr="00383F6E" w:rsidRDefault="004D0D91" w:rsidP="00B445E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Rincian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jaminan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kredit</w:t>
      </w:r>
      <w:proofErr w:type="spellEnd"/>
    </w:p>
    <w:p w:rsidR="004D0D91" w:rsidRPr="00383F6E" w:rsidRDefault="004D0D91" w:rsidP="00B445E8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3C04" w:rsidRPr="00383F6E" w:rsidRDefault="001D3C04" w:rsidP="00B445E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Jelaskan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subsequent collection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payment yang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pahami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0A44BB" w:rsidRPr="00383F6E" w:rsidRDefault="000A44BB" w:rsidP="00B445E8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Jawab</w:t>
      </w:r>
      <w:proofErr w:type="spellEnd"/>
      <w:r w:rsidRPr="00383F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0A44BB" w:rsidRPr="00383F6E" w:rsidRDefault="002F1235" w:rsidP="00B445E8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Subsequent collection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penagihan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sesudah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posisi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keuangan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neraca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sampai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mendekati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selesainya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pekerjaan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lapangan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383F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audit</w:t>
      </w: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F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field work</w:t>
      </w: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yang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dilaksanakan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pemeriksaan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piutang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barang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perjalanan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F1235" w:rsidRPr="00383F6E" w:rsidRDefault="002F1235" w:rsidP="00B445E8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Subsequent payment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pembayaran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sesudah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posisi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keuangan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neraca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sampai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mendekati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selesainya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F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audit</w:t>
      </w: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F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field work</w:t>
      </w: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yang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dilaksanakan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pemeriksaan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liabilitas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biaya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dibayar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F1235" w:rsidRPr="00383F6E" w:rsidRDefault="002F1235" w:rsidP="00B445E8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3C04" w:rsidRPr="00383F6E" w:rsidRDefault="001D3C04" w:rsidP="00B445E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pemeriksaan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SPI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nya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subsequent collection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diamati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auditor?</w:t>
      </w:r>
    </w:p>
    <w:p w:rsidR="00B445E8" w:rsidRDefault="00B445E8" w:rsidP="00B445E8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Jawab</w:t>
      </w:r>
      <w:proofErr w:type="spellEnd"/>
      <w:r w:rsidRPr="00383F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984308" w:rsidRPr="00984308" w:rsidRDefault="00061D09" w:rsidP="00984308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diamati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diperhatikan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subsequent collection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periode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diperiksa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piutang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pengiriman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kepenagihan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penagihan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sesudah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445E8" w:rsidRPr="00383F6E" w:rsidRDefault="00B445E8" w:rsidP="00B445E8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D3C04" w:rsidRPr="00383F6E" w:rsidRDefault="001D3C04" w:rsidP="00B445E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Jelaskan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prosedur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pemeriksaan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ekuitas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0A44BB" w:rsidRPr="00383F6E" w:rsidRDefault="009D388A" w:rsidP="00B445E8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Jawab</w:t>
      </w:r>
      <w:proofErr w:type="spellEnd"/>
      <w:r w:rsidRPr="00383F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0A44BB" w:rsidRPr="00383F6E" w:rsidRDefault="009F0CE4" w:rsidP="00B445E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Pelajari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F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internal control</w:t>
      </w: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permodalan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transaksi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jual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beli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saham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pembagian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pembayaran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dividen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sertifikat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saham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5840" w:rsidRPr="00383F6E" w:rsidRDefault="009F0CE4" w:rsidP="00B445E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Minta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salinan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383F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copy</w:t>
      </w: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akta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pendirian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SK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Pengesahan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Menteri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HAM, SK BKPM/BKPMD, SK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Bapepam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-LK, SK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Presiden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disimpan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F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permanent file</w:t>
      </w: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5840" w:rsidRPr="00383F6E" w:rsidRDefault="009F0CE4" w:rsidP="00B445E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Cocokkan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yang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akta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pendirian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modal yang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tercantum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posisi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keuangan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neraca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penjelasan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catatan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keuangan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5840" w:rsidRPr="00383F6E" w:rsidRDefault="009F0CE4" w:rsidP="00B445E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didirikan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mempunyai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tambahan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setoran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modal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periode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diperiksa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periksalah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bukti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setoran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bukti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pembukuan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otorisasi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pejabat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berwenang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instansi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A44BB" w:rsidRPr="00383F6E" w:rsidRDefault="000A44BB" w:rsidP="00B445E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Jelaskan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kertas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pemeriksaan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A44BB" w:rsidRPr="00383F6E" w:rsidRDefault="000A44BB" w:rsidP="00B445E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berapa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modal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modal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ditempatkan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modal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disetor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F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premium</w:t>
      </w: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F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discount</w:t>
      </w: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penjualan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saham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A44BB" w:rsidRPr="00383F6E" w:rsidRDefault="000A44BB" w:rsidP="00B445E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saham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dimiliki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berapa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F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common stock</w:t>
      </w: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F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preferred stock</w:t>
      </w: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nominalnya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A44BB" w:rsidRPr="00383F6E" w:rsidRDefault="000A44BB" w:rsidP="00B445E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rincian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pemegang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saham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A44BB" w:rsidRPr="00383F6E" w:rsidRDefault="000A44BB" w:rsidP="00B445E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Periksa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dokumen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pendukung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perkiraan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F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retained earnings/deficit</w:t>
      </w: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diotorisasi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pejabat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berwenang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F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adjustment</w:t>
      </w: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F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retained earnings/deficit</w:t>
      </w: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memang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F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reasonable</w:t>
      </w: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jumlahnya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cukup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material.</w:t>
      </w:r>
    </w:p>
    <w:p w:rsidR="000A44BB" w:rsidRPr="00383F6E" w:rsidRDefault="000A44BB" w:rsidP="00B445E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Seandainya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pembagian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dividen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periksa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A44BB" w:rsidRPr="00383F6E" w:rsidRDefault="000A44BB" w:rsidP="00B445E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dividen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dibagikan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F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cash dividend, stock dividend</w:t>
      </w: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F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property dividend</w:t>
      </w: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A44BB" w:rsidRPr="00383F6E" w:rsidRDefault="000A44BB" w:rsidP="00B445E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pencatatannya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benar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deklarasi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dividen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pembayaran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dividen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0A44BB" w:rsidRPr="00383F6E" w:rsidRDefault="000A44BB" w:rsidP="00B445E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aspek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perpajakannya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perpajakan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berlaku</w:t>
      </w:r>
      <w:proofErr w:type="spellEnd"/>
    </w:p>
    <w:p w:rsidR="000A44BB" w:rsidRPr="00383F6E" w:rsidRDefault="000A44BB" w:rsidP="00B445E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Periksa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akumulasi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kerugian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383F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accumulated losses/deficit</w:t>
      </w: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75%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modal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disetor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kalau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penjelasan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catatan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keuangan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A44BB" w:rsidRPr="00383F6E" w:rsidRDefault="000A44BB" w:rsidP="00B445E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Pertimbangkan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mengirim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konfirmasi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pemegang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saham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Biro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Administrasi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Efek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383F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Stock Transfer Agent</w:t>
      </w: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0A44BB" w:rsidRPr="00383F6E" w:rsidRDefault="000A44BB" w:rsidP="00B445E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Seandainya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F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treasury stock</w:t>
      </w: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A44BB" w:rsidRPr="00383F6E" w:rsidRDefault="000A44BB" w:rsidP="00B445E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Periksa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bukti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pembelian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otorisasinya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A44BB" w:rsidRPr="00383F6E" w:rsidRDefault="000A44BB" w:rsidP="00B445E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Periksa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bukti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penjualannya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otorisasinya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F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treasury stock</w:t>
      </w: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dijual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kembali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0A44BB" w:rsidRPr="00383F6E" w:rsidRDefault="000A44BB" w:rsidP="00B445E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Tanyakan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manajemen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pembelian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F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treasury stock</w:t>
      </w: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memperbaiki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harga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pasar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saham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dibagikan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saham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bonus)</w:t>
      </w:r>
    </w:p>
    <w:p w:rsidR="000A44BB" w:rsidRPr="00383F6E" w:rsidRDefault="000A44BB" w:rsidP="00B445E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Perhatikan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F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treasury stock</w:t>
      </w:r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berhak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pembagian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dividen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A44BB" w:rsidRPr="00383F6E" w:rsidRDefault="000A44BB" w:rsidP="00B445E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Periksa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penyajian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permodalan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posisi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keuangan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neraca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catatan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keuangan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Standar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Akuntansi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Keuangan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ETAP/PSAK/IFRS.</w:t>
      </w:r>
    </w:p>
    <w:p w:rsidR="000A44BB" w:rsidRPr="00383F6E" w:rsidRDefault="000A44BB" w:rsidP="00B445E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Buat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kesimpulan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kewajaran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ekuitas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10EF" w:rsidRDefault="007F10EF" w:rsidP="00B445E8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308" w:rsidRPr="00383F6E" w:rsidRDefault="00984308" w:rsidP="00B445E8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3C04" w:rsidRPr="00383F6E" w:rsidRDefault="001D3C04" w:rsidP="00B445E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Pada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penentuan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penyelesaian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audit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>pertimbangan</w:t>
      </w:r>
      <w:proofErr w:type="spellEnd"/>
      <w:r w:rsidRPr="0038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auditor?</w:t>
      </w:r>
    </w:p>
    <w:p w:rsidR="001D3C04" w:rsidRDefault="00061D09" w:rsidP="00B445E8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61D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Jawab</w:t>
      </w:r>
      <w:proofErr w:type="spellEnd"/>
      <w:r w:rsidRPr="00061D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061D09" w:rsidRDefault="00E6420A" w:rsidP="00B445E8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6420A" w:rsidRDefault="00E6420A" w:rsidP="00E6420A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mengindikasikan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ketidakpastian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kerugian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tuntutan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klaim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pengadilan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6420A" w:rsidRDefault="00E6420A" w:rsidP="00E6420A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Periode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6420A" w:rsidRDefault="00E6420A" w:rsidP="00E6420A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Tingkat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menguntungkan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6420A" w:rsidRPr="00E6420A" w:rsidRDefault="00E6420A" w:rsidP="00E6420A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perkiraan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kerugian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potensial.</w:t>
      </w:r>
    </w:p>
    <w:sectPr w:rsidR="00E6420A" w:rsidRPr="00E6420A" w:rsidSect="00984308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916" w:rsidRDefault="00AE6916" w:rsidP="001D3C04">
      <w:pPr>
        <w:spacing w:after="0" w:line="240" w:lineRule="auto"/>
      </w:pPr>
      <w:r>
        <w:separator/>
      </w:r>
    </w:p>
  </w:endnote>
  <w:endnote w:type="continuationSeparator" w:id="0">
    <w:p w:rsidR="00AE6916" w:rsidRDefault="00AE6916" w:rsidP="001D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916" w:rsidRDefault="00AE6916" w:rsidP="001D3C04">
      <w:pPr>
        <w:spacing w:after="0" w:line="240" w:lineRule="auto"/>
      </w:pPr>
      <w:r>
        <w:separator/>
      </w:r>
    </w:p>
  </w:footnote>
  <w:footnote w:type="continuationSeparator" w:id="0">
    <w:p w:rsidR="00AE6916" w:rsidRDefault="00AE6916" w:rsidP="001D3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C04" w:rsidRDefault="001D3C04">
    <w:pPr>
      <w:pStyle w:val="Header"/>
    </w:pPr>
  </w:p>
  <w:p w:rsidR="001D3C04" w:rsidRDefault="001D3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227A7"/>
    <w:multiLevelType w:val="hybridMultilevel"/>
    <w:tmpl w:val="1FFE9D50"/>
    <w:lvl w:ilvl="0" w:tplc="56767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77815"/>
    <w:multiLevelType w:val="hybridMultilevel"/>
    <w:tmpl w:val="25604056"/>
    <w:lvl w:ilvl="0" w:tplc="25EC1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6D12BE"/>
    <w:multiLevelType w:val="hybridMultilevel"/>
    <w:tmpl w:val="BCAC8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40BF4"/>
    <w:multiLevelType w:val="hybridMultilevel"/>
    <w:tmpl w:val="EB9C51E8"/>
    <w:lvl w:ilvl="0" w:tplc="4E708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55635D"/>
    <w:multiLevelType w:val="hybridMultilevel"/>
    <w:tmpl w:val="FA7870A6"/>
    <w:lvl w:ilvl="0" w:tplc="FACE7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3E619E"/>
    <w:multiLevelType w:val="hybridMultilevel"/>
    <w:tmpl w:val="57F83708"/>
    <w:lvl w:ilvl="0" w:tplc="9E56B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52B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786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6A2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B07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629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AA2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60A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C2D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37D4F75"/>
    <w:multiLevelType w:val="hybridMultilevel"/>
    <w:tmpl w:val="5EA2D44A"/>
    <w:lvl w:ilvl="0" w:tplc="3B7C50E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D76E95"/>
    <w:multiLevelType w:val="hybridMultilevel"/>
    <w:tmpl w:val="42983650"/>
    <w:lvl w:ilvl="0" w:tplc="14880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526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BE6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B20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202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BAC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925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307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54D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13573E5"/>
    <w:multiLevelType w:val="hybridMultilevel"/>
    <w:tmpl w:val="E0D6EC96"/>
    <w:lvl w:ilvl="0" w:tplc="E98AE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5EC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449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E01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A48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6C3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901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9E6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C28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C607EF"/>
    <w:multiLevelType w:val="hybridMultilevel"/>
    <w:tmpl w:val="253CF1C2"/>
    <w:lvl w:ilvl="0" w:tplc="3E4C6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C2C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DCE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B8B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10C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12A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DC4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767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D2B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3222C92"/>
    <w:multiLevelType w:val="hybridMultilevel"/>
    <w:tmpl w:val="4FEEB9F0"/>
    <w:lvl w:ilvl="0" w:tplc="02DE3D0C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557FCA"/>
    <w:multiLevelType w:val="hybridMultilevel"/>
    <w:tmpl w:val="9A005710"/>
    <w:lvl w:ilvl="0" w:tplc="149AB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04"/>
    <w:rsid w:val="00061D09"/>
    <w:rsid w:val="000A44BB"/>
    <w:rsid w:val="001D3C04"/>
    <w:rsid w:val="002F1235"/>
    <w:rsid w:val="00383F6E"/>
    <w:rsid w:val="004D0D91"/>
    <w:rsid w:val="00585840"/>
    <w:rsid w:val="007F10EF"/>
    <w:rsid w:val="00984308"/>
    <w:rsid w:val="009B798F"/>
    <w:rsid w:val="009D388A"/>
    <w:rsid w:val="009F0CE4"/>
    <w:rsid w:val="00AE6916"/>
    <w:rsid w:val="00B445E8"/>
    <w:rsid w:val="00E6420A"/>
    <w:rsid w:val="00FC39AD"/>
    <w:rsid w:val="00FD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15A38"/>
  <w15:chartTrackingRefBased/>
  <w15:docId w15:val="{88E95FD9-4ED5-4C93-92B5-BC690F87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C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3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C04"/>
  </w:style>
  <w:style w:type="paragraph" w:styleId="Footer">
    <w:name w:val="footer"/>
    <w:basedOn w:val="Normal"/>
    <w:link w:val="FooterChar"/>
    <w:uiPriority w:val="99"/>
    <w:unhideWhenUsed/>
    <w:rsid w:val="001D3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C04"/>
  </w:style>
  <w:style w:type="character" w:styleId="Hyperlink">
    <w:name w:val="Hyperlink"/>
    <w:basedOn w:val="DefaultParagraphFont"/>
    <w:uiPriority w:val="99"/>
    <w:semiHidden/>
    <w:unhideWhenUsed/>
    <w:rsid w:val="009B79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416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6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4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22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2021-05-04T14:44:00Z</dcterms:created>
  <dcterms:modified xsi:type="dcterms:W3CDTF">2021-05-05T09:42:00Z</dcterms:modified>
</cp:coreProperties>
</file>